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851" w:type="dxa"/>
        <w:shd w:val="clear" w:color="auto" w:fill="000000"/>
        <w:tblLayout w:type="fixed"/>
        <w:tblCellMar>
          <w:left w:w="0" w:type="dxa"/>
          <w:right w:w="0" w:type="dxa"/>
        </w:tblCellMar>
        <w:tblLook w:val="04A0" w:firstRow="1" w:lastRow="0" w:firstColumn="1" w:lastColumn="0" w:noHBand="0" w:noVBand="1"/>
      </w:tblPr>
      <w:tblGrid>
        <w:gridCol w:w="4536"/>
      </w:tblGrid>
      <w:tr w:rsidR="00EE384B" w:rsidRPr="009A79F2" w:rsidTr="00747BEE">
        <w:trPr>
          <w:trHeight w:hRule="exact" w:val="2835"/>
        </w:trPr>
        <w:tc>
          <w:tcPr>
            <w:tcW w:w="4536" w:type="dxa"/>
            <w:shd w:val="clear" w:color="auto" w:fill="000000"/>
          </w:tcPr>
          <w:p w:rsidR="0040387A" w:rsidRPr="009A79F2" w:rsidRDefault="00700E08" w:rsidP="00F41801">
            <w:pPr>
              <w:pStyle w:val="FrontpageTitle"/>
            </w:pPr>
            <w:bookmarkStart w:id="0" w:name="_GoBack"/>
            <w:bookmarkEnd w:id="0"/>
            <w:r w:rsidRPr="00EA3595">
              <w:rPr>
                <w:sz w:val="48"/>
                <w:szCs w:val="48"/>
              </w:rPr>
              <w:t>analysing impacts Practitioner supplement</w:t>
            </w:r>
          </w:p>
        </w:tc>
      </w:tr>
      <w:tr w:rsidR="00EE384B" w:rsidRPr="009A79F2" w:rsidTr="000A5F18">
        <w:trPr>
          <w:trHeight w:val="1721"/>
        </w:trPr>
        <w:tc>
          <w:tcPr>
            <w:tcW w:w="4536" w:type="dxa"/>
            <w:shd w:val="clear" w:color="auto" w:fill="000000"/>
            <w:vAlign w:val="bottom"/>
          </w:tcPr>
          <w:p w:rsidR="00EE384B" w:rsidRPr="009A79F2" w:rsidRDefault="00700E08" w:rsidP="00F41801">
            <w:pPr>
              <w:pStyle w:val="FrontpageSubtitle"/>
            </w:pPr>
            <w:r w:rsidRPr="00063A68">
              <w:rPr>
                <w:sz w:val="36"/>
                <w:szCs w:val="36"/>
              </w:rPr>
              <w:t>Human Rights Impact assessment guidance and toolbox</w:t>
            </w:r>
          </w:p>
        </w:tc>
      </w:tr>
    </w:tbl>
    <w:p w:rsidR="00EE384B" w:rsidRPr="009A79F2" w:rsidRDefault="00EE384B">
      <w:pPr>
        <w:spacing w:line="276" w:lineRule="auto"/>
      </w:pPr>
    </w:p>
    <w:p w:rsidR="00EE384B" w:rsidRPr="009A79F2" w:rsidRDefault="00EE384B">
      <w:pPr>
        <w:spacing w:line="276" w:lineRule="auto"/>
      </w:pPr>
      <w:r w:rsidRPr="009A79F2">
        <w:br w:type="page"/>
      </w:r>
    </w:p>
    <w:tbl>
      <w:tblPr>
        <w:tblStyle w:val="TableGrid"/>
        <w:tblpPr w:leftFromText="142" w:rightFromText="142" w:horzAnchor="margin"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23"/>
      </w:tblGrid>
      <w:tr w:rsidR="006607AE" w:rsidRPr="002739B0" w:rsidTr="006E19B2">
        <w:trPr>
          <w:trHeight w:hRule="exact" w:val="5330"/>
        </w:trPr>
        <w:tc>
          <w:tcPr>
            <w:tcW w:w="7923" w:type="dxa"/>
          </w:tcPr>
          <w:p w:rsidR="003A5C79" w:rsidRPr="002739B0" w:rsidRDefault="003A5C79" w:rsidP="006E19B2">
            <w:pPr>
              <w:pStyle w:val="Imprint-Text"/>
              <w:framePr w:hSpace="0" w:wrap="auto" w:hAnchor="text" w:yAlign="inline"/>
              <w:suppressOverlap w:val="0"/>
            </w:pPr>
          </w:p>
        </w:tc>
      </w:tr>
      <w:tr w:rsidR="003A5C79" w:rsidRPr="009A79F2" w:rsidTr="006E19B2">
        <w:trPr>
          <w:trHeight w:val="3225"/>
        </w:trPr>
        <w:tc>
          <w:tcPr>
            <w:tcW w:w="7923" w:type="dxa"/>
            <w:tcMar>
              <w:top w:w="0" w:type="dxa"/>
            </w:tcMar>
          </w:tcPr>
          <w:p w:rsidR="00A83BC2" w:rsidRDefault="00A83BC2">
            <w:pPr>
              <w:pStyle w:val="Imprint-Text"/>
              <w:framePr w:hSpace="0" w:wrap="auto" w:hAnchor="text" w:yAlign="inline"/>
              <w:suppressOverlap w:val="0"/>
            </w:pPr>
          </w:p>
        </w:tc>
      </w:tr>
    </w:tbl>
    <w:tbl>
      <w:tblPr>
        <w:tblStyle w:val="TableGrid"/>
        <w:tblpPr w:leftFromText="142" w:rightFromText="142" w:vertAnchor="page" w:horzAnchor="margin" w:tblpY="24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23"/>
      </w:tblGrid>
      <w:tr w:rsidR="00752CAB" w:rsidRPr="00C0190A" w:rsidTr="00F66FC5">
        <w:trPr>
          <w:trHeight w:hRule="exact" w:val="8643"/>
        </w:trPr>
        <w:tc>
          <w:tcPr>
            <w:tcW w:w="7923" w:type="dxa"/>
          </w:tcPr>
          <w:p w:rsidR="00752CAB" w:rsidRPr="00F27AA4" w:rsidRDefault="00752CAB" w:rsidP="00F66FC5">
            <w:pPr>
              <w:pStyle w:val="Imprint-Text"/>
              <w:framePr w:hSpace="0" w:wrap="auto" w:hAnchor="text" w:yAlign="inline"/>
              <w:suppressOverlap w:val="0"/>
              <w:rPr>
                <w:sz w:val="22"/>
                <w:szCs w:val="22"/>
                <w:lang w:val="en-US"/>
              </w:rPr>
            </w:pPr>
            <w:r w:rsidRPr="00F27AA4">
              <w:rPr>
                <w:b/>
                <w:bCs/>
                <w:sz w:val="22"/>
                <w:szCs w:val="22"/>
                <w:lang w:val="en-US"/>
              </w:rPr>
              <w:t>Contributors</w:t>
            </w:r>
            <w:r w:rsidRPr="00F27AA4">
              <w:rPr>
                <w:sz w:val="22"/>
                <w:szCs w:val="22"/>
                <w:lang w:val="en-US"/>
              </w:rPr>
              <w:t>: The 2016 Road-testing version of the HRIA Guidance and Toolbox was written by Nora Götzmann, Tulika Bansal, Elin Wrzoncki, Cathrine Bloch Veiberg, Jacqueline Tedaldi and Roya Høvsgaard. This 2020 version includes important contributions from Signe A</w:t>
            </w:r>
            <w:r w:rsidR="00F27AA4" w:rsidRPr="00F27AA4">
              <w:rPr>
                <w:sz w:val="22"/>
                <w:szCs w:val="22"/>
                <w:lang w:val="en-US"/>
              </w:rPr>
              <w:t>n</w:t>
            </w:r>
            <w:r w:rsidRPr="00F27AA4">
              <w:rPr>
                <w:sz w:val="22"/>
                <w:szCs w:val="22"/>
                <w:lang w:val="en-US"/>
              </w:rPr>
              <w:t>dreasen Lysgaard, Dirk Hoffmann, Emil Lindbland Kernell, Ashley Nancy Reynolds, Francesca Thornberry, and Kayla Winarsky Green.</w:t>
            </w:r>
          </w:p>
          <w:p w:rsidR="00752CAB" w:rsidRPr="00F27AA4" w:rsidRDefault="00752CAB" w:rsidP="00F66FC5">
            <w:pPr>
              <w:pStyle w:val="Imprint-Text"/>
              <w:framePr w:hSpace="0" w:wrap="auto" w:hAnchor="text" w:yAlign="inline"/>
              <w:suppressOverlap w:val="0"/>
              <w:rPr>
                <w:sz w:val="12"/>
                <w:szCs w:val="12"/>
                <w:lang w:val="en-US"/>
              </w:rPr>
            </w:pPr>
          </w:p>
          <w:p w:rsidR="00752CAB" w:rsidRPr="00F27AA4" w:rsidRDefault="00752CAB" w:rsidP="00F66FC5">
            <w:pPr>
              <w:pStyle w:val="Imprint-Text"/>
              <w:framePr w:hSpace="0" w:wrap="auto" w:hAnchor="text" w:yAlign="inline"/>
              <w:suppressOverlap w:val="0"/>
              <w:rPr>
                <w:sz w:val="22"/>
                <w:szCs w:val="22"/>
                <w:lang w:val="en-US"/>
              </w:rPr>
            </w:pPr>
            <w:r w:rsidRPr="00F27AA4">
              <w:rPr>
                <w:b/>
                <w:bCs/>
                <w:sz w:val="22"/>
                <w:szCs w:val="22"/>
                <w:lang w:val="en-US"/>
              </w:rPr>
              <w:t>Editor</w:t>
            </w:r>
            <w:r w:rsidRPr="00F27AA4">
              <w:rPr>
                <w:sz w:val="22"/>
                <w:szCs w:val="22"/>
                <w:lang w:val="en-US"/>
              </w:rPr>
              <w:t>: Ashley Nancy Reynolds</w:t>
            </w:r>
          </w:p>
          <w:p w:rsidR="00752CAB" w:rsidRPr="00F27AA4" w:rsidRDefault="00752CAB" w:rsidP="00F66FC5">
            <w:pPr>
              <w:spacing w:line="276" w:lineRule="auto"/>
              <w:rPr>
                <w:sz w:val="12"/>
                <w:szCs w:val="12"/>
              </w:rPr>
            </w:pPr>
            <w:r w:rsidRPr="00F27AA4">
              <w:rPr>
                <w:sz w:val="12"/>
                <w:szCs w:val="12"/>
              </w:rPr>
              <w:t> </w:t>
            </w:r>
          </w:p>
          <w:p w:rsidR="00752CAB" w:rsidRPr="00F27AA4" w:rsidRDefault="00752CAB" w:rsidP="00F66FC5">
            <w:pPr>
              <w:pStyle w:val="Imprint-Text"/>
              <w:framePr w:hSpace="0" w:wrap="auto" w:hAnchor="text" w:yAlign="inline"/>
              <w:suppressOverlap w:val="0"/>
              <w:rPr>
                <w:sz w:val="22"/>
                <w:szCs w:val="22"/>
              </w:rPr>
            </w:pPr>
            <w:r w:rsidRPr="00F27AA4">
              <w:rPr>
                <w:b/>
                <w:bCs/>
                <w:sz w:val="22"/>
                <w:szCs w:val="22"/>
              </w:rPr>
              <w:t>Acknowledgments</w:t>
            </w:r>
            <w:r w:rsidRPr="00F27AA4">
              <w:rPr>
                <w:sz w:val="22"/>
                <w:szCs w:val="22"/>
              </w:rPr>
              <w:t xml:space="preserve">: The Road-testing and final versions of the HRIA Guidance and Toolbox were developed with input from a number of individuals and organisations who contributed their expertise, reflections and time on a voluntary basis, for which we are deeply thankful. We wish to extend our sincere thanks to: Désirée Abrahams, Day Associates; Manon Aubry, Sciences Po and Oxfam France; José Aylwin; </w:t>
            </w:r>
            <w:r w:rsidRPr="00F27AA4">
              <w:rPr>
                <w:sz w:val="22"/>
                <w:szCs w:val="22"/>
                <w:lang w:val="en-US"/>
              </w:rPr>
              <w:t>Sibylle Baumgartner, Kuoni Travel Management Ltd.;</w:t>
            </w:r>
            <w:r w:rsidRPr="00F27AA4">
              <w:rPr>
                <w:sz w:val="22"/>
                <w:szCs w:val="22"/>
              </w:rPr>
              <w:t xml:space="preserve"> Richard Boele; Caroline Brodeur; Jonathan Drimmer; Gabriela Factor, Community Insights Group; Alejandro González, Project on Organizing, Development, Education, and Research (PODER); Jasmin Gut and Heloise Heyer, PeaceNexus; International Alert</w:t>
            </w:r>
            <w:r w:rsidRPr="00F27AA4">
              <w:rPr>
                <w:sz w:val="22"/>
                <w:szCs w:val="22"/>
                <w:lang w:val="en-US"/>
              </w:rPr>
              <w:t xml:space="preserve">; </w:t>
            </w:r>
            <w:r w:rsidRPr="00F27AA4">
              <w:rPr>
                <w:sz w:val="22"/>
                <w:szCs w:val="22"/>
              </w:rPr>
              <w:t>Human Rights Task Force members of IPIECA, the global oil and gas industry association for environmental and social issues; Madeleine Koalick, twentyfifty Ltd.; Felicity Ann Kolp; Serena Lillywhite, Oxfam Australia; Lloyd Lipsett, LKL International Consulting Inc.; Susan Mathews, OHCHR; Siobhan McInerney-Lankford; Geneviève Paul, FIDH; Grace Sanico Steffan, OHCHR; Haley St. Dennis; Sam Szoke-Burke, Columbia Center on Sustainable Investment; Irit Tamir, Oxfam America; Deniz Utlu, German Institute for Human Rights; Prof. Frank Vanclay, University of Groningen; Margaret Wachenfeld; Yann Wyss, Nestlé; Sarah Zoen, Oxfam America. The contribution of expert reviewers does not represent their endorsement of the content. We would also like to thank Flavia Fries for her contributions to the Guidance and Toolbox during her fellowship at DIHR.</w:t>
            </w:r>
          </w:p>
          <w:p w:rsidR="00752CAB" w:rsidRDefault="00752CAB" w:rsidP="00F66FC5">
            <w:pPr>
              <w:pStyle w:val="Imprint-Text"/>
              <w:framePr w:hSpace="0" w:wrap="auto" w:hAnchor="text" w:yAlign="inline"/>
              <w:suppressOverlap w:val="0"/>
            </w:pPr>
          </w:p>
          <w:p w:rsidR="00F27AA4" w:rsidRPr="00CC0F08" w:rsidRDefault="00F27AA4" w:rsidP="00F27AA4">
            <w:pPr>
              <w:pStyle w:val="Imprint-Text"/>
              <w:framePr w:hSpace="0" w:wrap="auto" w:hAnchor="text" w:yAlign="inline"/>
              <w:suppressOverlap w:val="0"/>
              <w:rPr>
                <w:sz w:val="22"/>
                <w:szCs w:val="22"/>
              </w:rPr>
            </w:pPr>
            <w:r w:rsidRPr="00CC0F08">
              <w:rPr>
                <w:sz w:val="22"/>
                <w:szCs w:val="22"/>
              </w:rPr>
              <w:t>Special thanks go out to the Danish International Development Agency (D</w:t>
            </w:r>
            <w:r>
              <w:rPr>
                <w:sz w:val="22"/>
                <w:szCs w:val="22"/>
              </w:rPr>
              <w:t>anida</w:t>
            </w:r>
            <w:r w:rsidRPr="00CC0F08">
              <w:rPr>
                <w:sz w:val="22"/>
                <w:szCs w:val="22"/>
              </w:rPr>
              <w:t>) and the Swedish International Development Cooperation Agency (</w:t>
            </w:r>
            <w:r>
              <w:rPr>
                <w:sz w:val="22"/>
                <w:szCs w:val="22"/>
              </w:rPr>
              <w:t>Sida</w:t>
            </w:r>
            <w:r w:rsidRPr="00CC0F08">
              <w:rPr>
                <w:sz w:val="22"/>
                <w:szCs w:val="22"/>
              </w:rPr>
              <w:t>) for their financial support to the development of the Guidance and Toolbox.</w:t>
            </w:r>
          </w:p>
          <w:p w:rsidR="00752CAB" w:rsidRPr="00C0190A" w:rsidRDefault="00752CAB" w:rsidP="00F66FC5">
            <w:pPr>
              <w:pStyle w:val="Imprint-Text"/>
              <w:framePr w:hSpace="0" w:wrap="auto" w:hAnchor="text" w:yAlign="inline"/>
              <w:suppressOverlap w:val="0"/>
            </w:pPr>
          </w:p>
        </w:tc>
      </w:tr>
      <w:tr w:rsidR="00752CAB" w:rsidTr="00F66FC5">
        <w:trPr>
          <w:trHeight w:val="3225"/>
        </w:trPr>
        <w:tc>
          <w:tcPr>
            <w:tcW w:w="7923" w:type="dxa"/>
            <w:tcMar>
              <w:top w:w="0" w:type="dxa"/>
            </w:tcMar>
          </w:tcPr>
          <w:p w:rsidR="00752CAB" w:rsidRDefault="00752CAB" w:rsidP="00F66FC5">
            <w:pPr>
              <w:pStyle w:val="Imprint-Text"/>
              <w:framePr w:hSpace="0" w:wrap="auto" w:hAnchor="text" w:yAlign="inline"/>
              <w:suppressOverlap w:val="0"/>
            </w:pPr>
          </w:p>
          <w:p w:rsidR="00752CAB" w:rsidRPr="009A79F2" w:rsidRDefault="00752CAB" w:rsidP="00F66FC5">
            <w:pPr>
              <w:pStyle w:val="Imprint-Text"/>
              <w:framePr w:hSpace="0" w:wrap="auto" w:hAnchor="text" w:yAlign="inline"/>
              <w:suppressOverlap w:val="0"/>
            </w:pPr>
            <w:r w:rsidRPr="009A79F2">
              <w:t xml:space="preserve">© </w:t>
            </w:r>
            <w:r w:rsidRPr="009A79F2">
              <w:fldChar w:fldCharType="begin"/>
            </w:r>
            <w:r w:rsidRPr="009A79F2">
              <w:instrText xml:space="preserve"> CREATEDATE  \@ "yyyy" </w:instrText>
            </w:r>
            <w:r w:rsidRPr="009A79F2">
              <w:fldChar w:fldCharType="separate"/>
            </w:r>
            <w:r>
              <w:rPr>
                <w:noProof/>
              </w:rPr>
              <w:t>2020</w:t>
            </w:r>
            <w:r w:rsidRPr="009A79F2">
              <w:fldChar w:fldCharType="end"/>
            </w:r>
            <w:r w:rsidRPr="009A79F2">
              <w:t xml:space="preserve"> </w:t>
            </w:r>
            <w:sdt>
              <w:sdtPr>
                <w:tag w:val="{&quot;templafy&quot;:{&quot;id&quot;:&quot;3000ce3e-61e7-4c2c-be8a-859ecd488a9b&quot;}}"/>
                <w:id w:val="-712037480"/>
                <w:placeholder>
                  <w:docPart w:val="7FB2EE5F45894D4AA08EC75CED865C59"/>
                </w:placeholder>
              </w:sdtPr>
              <w:sdtEndPr/>
              <w:sdtContent>
                <w:r>
                  <w:t>The Danish Institute for Human Rights</w:t>
                </w:r>
              </w:sdtContent>
            </w:sdt>
          </w:p>
          <w:sdt>
            <w:sdtPr>
              <w:tag w:val="{&quot;templafy&quot;:{&quot;id&quot;:&quot;d7e06993-62af-489f-9da8-4e7f93524090&quot;}}"/>
              <w:id w:val="-1496490618"/>
              <w:placeholder>
                <w:docPart w:val="DAAD4DC1B67A4703941AC781371D10A5"/>
              </w:placeholder>
            </w:sdtPr>
            <w:sdtEndPr/>
            <w:sdtContent>
              <w:p w:rsidR="00752CAB" w:rsidRPr="00F81336" w:rsidRDefault="00752CAB" w:rsidP="00F66FC5">
                <w:pPr>
                  <w:pStyle w:val="Imprint-Text"/>
                  <w:framePr w:hSpace="0" w:wrap="auto" w:hAnchor="text" w:yAlign="inline"/>
                  <w:suppressOverlap w:val="0"/>
                  <w:rPr>
                    <w:lang w:val="da-DK"/>
                  </w:rPr>
                </w:pPr>
                <w:r w:rsidRPr="00F81336">
                  <w:rPr>
                    <w:lang w:val="da-DK"/>
                  </w:rPr>
                  <w:t>Wilders Plads 8K</w:t>
                </w:r>
              </w:p>
              <w:p w:rsidR="00752CAB" w:rsidRPr="00F81336" w:rsidRDefault="00752CAB" w:rsidP="00F66FC5">
                <w:pPr>
                  <w:pStyle w:val="Imprint-Text"/>
                  <w:framePr w:hSpace="0" w:wrap="auto" w:hAnchor="text" w:yAlign="inline"/>
                  <w:suppressOverlap w:val="0"/>
                  <w:rPr>
                    <w:lang w:val="da-DK"/>
                  </w:rPr>
                </w:pPr>
                <w:r w:rsidRPr="00F81336">
                  <w:rPr>
                    <w:lang w:val="da-DK"/>
                  </w:rPr>
                  <w:t>DK-1403 Copenhagen K</w:t>
                </w:r>
              </w:p>
            </w:sdtContent>
          </w:sdt>
          <w:p w:rsidR="00752CAB" w:rsidRPr="009A79F2" w:rsidRDefault="00105AB7" w:rsidP="00F66FC5">
            <w:pPr>
              <w:pStyle w:val="Imprint-Text"/>
              <w:framePr w:hSpace="0" w:wrap="auto" w:hAnchor="text" w:yAlign="inline"/>
              <w:suppressOverlap w:val="0"/>
            </w:pPr>
            <w:sdt>
              <w:sdtPr>
                <w:tag w:val="{&quot;templafy&quot;:{&quot;id&quot;:&quot;3f8a922b-aa40-4ff5-bf34-06ac2335eb06&quot;}}"/>
                <w:id w:val="587966205"/>
                <w:placeholder>
                  <w:docPart w:val="DAAD4DC1B67A4703941AC781371D10A5"/>
                </w:placeholder>
              </w:sdtPr>
              <w:sdtEndPr/>
              <w:sdtContent>
                <w:r w:rsidR="00752CAB">
                  <w:t>Phone</w:t>
                </w:r>
              </w:sdtContent>
            </w:sdt>
            <w:r w:rsidR="00752CAB" w:rsidRPr="009A79F2">
              <w:t xml:space="preserve"> </w:t>
            </w:r>
            <w:sdt>
              <w:sdtPr>
                <w:tag w:val="{&quot;templafy&quot;:{&quot;id&quot;:&quot;5c735fbc-ce37-45c9-baaf-425160945b1c&quot;}}"/>
                <w:id w:val="-1891258720"/>
                <w:placeholder>
                  <w:docPart w:val="DAAD4DC1B67A4703941AC781371D10A5"/>
                </w:placeholder>
              </w:sdtPr>
              <w:sdtEndPr/>
              <w:sdtContent>
                <w:r w:rsidR="00752CAB">
                  <w:t>+45 3269 8888</w:t>
                </w:r>
              </w:sdtContent>
            </w:sdt>
          </w:p>
          <w:p w:rsidR="00752CAB" w:rsidRPr="009A79F2" w:rsidRDefault="00752CAB" w:rsidP="00F66FC5">
            <w:pPr>
              <w:pStyle w:val="Imprint-Text"/>
              <w:framePr w:hSpace="0" w:wrap="auto" w:hAnchor="text" w:yAlign="inline"/>
              <w:suppressOverlap w:val="0"/>
            </w:pPr>
            <w:r w:rsidRPr="009A79F2">
              <w:t>www.</w:t>
            </w:r>
            <w:sdt>
              <w:sdtPr>
                <w:tag w:val="{&quot;templafy&quot;:{&quot;id&quot;:&quot;70bdfb5b-e08d-4157-9d03-3d3cb386dbe5&quot;}}"/>
                <w:id w:val="-1607260923"/>
                <w:placeholder>
                  <w:docPart w:val="DAAD4DC1B67A4703941AC781371D10A5"/>
                </w:placeholder>
              </w:sdtPr>
              <w:sdtEndPr/>
              <w:sdtContent>
                <w:r>
                  <w:t>humanrights.dk</w:t>
                </w:r>
              </w:sdtContent>
            </w:sdt>
          </w:p>
          <w:p w:rsidR="00752CAB" w:rsidRPr="005E765A" w:rsidRDefault="00752CAB" w:rsidP="00F66FC5">
            <w:pPr>
              <w:pStyle w:val="Imprint-Text"/>
              <w:framePr w:hSpace="0" w:wrap="auto" w:hAnchor="text" w:yAlign="inline"/>
              <w:suppressOverlap w:val="0"/>
              <w:rPr>
                <w:sz w:val="14"/>
                <w:szCs w:val="14"/>
              </w:rPr>
            </w:pPr>
          </w:p>
          <w:sdt>
            <w:sdtPr>
              <w:tag w:val="{&quot;templafy&quot;:{&quot;id&quot;:&quot;e7aa10b0-5784-4607-8b6f-e910edfd1c14&quot;}}"/>
              <w:id w:val="-2039270092"/>
              <w:placeholder>
                <w:docPart w:val="45493497604A49C797088E00B1571AEB"/>
              </w:placeholder>
            </w:sdtPr>
            <w:sdtEndPr/>
            <w:sdtContent>
              <w:p w:rsidR="00752CAB" w:rsidRDefault="00752CAB" w:rsidP="00F66FC5">
                <w:pPr>
                  <w:pStyle w:val="Imprint-Text"/>
                  <w:framePr w:hSpace="0" w:wrap="auto" w:hAnchor="text" w:yAlign="inline"/>
                  <w:suppressOverlap w:val="0"/>
                </w:pPr>
                <w:r>
                  <w:t>Provided such reproduction is for non-commercial use, this publication, or parts of it, may be reproduced if author and source are quoted.</w:t>
                </w:r>
              </w:p>
            </w:sdtContent>
          </w:sdt>
          <w:p w:rsidR="00752CAB" w:rsidRPr="005E765A" w:rsidRDefault="00752CAB" w:rsidP="00F66FC5">
            <w:pPr>
              <w:pStyle w:val="Imprint-Text"/>
              <w:framePr w:hSpace="0" w:wrap="auto" w:hAnchor="text" w:yAlign="inline"/>
              <w:suppressOverlap w:val="0"/>
              <w:rPr>
                <w:sz w:val="14"/>
                <w:szCs w:val="14"/>
              </w:rPr>
            </w:pPr>
          </w:p>
          <w:sdt>
            <w:sdtPr>
              <w:tag w:val="{&quot;templafy&quot;:{&quot;id&quot;:&quot;b177ea3c-ed73-4981-a0dc-cda8a91ce264&quot;}}"/>
              <w:id w:val="1449591830"/>
              <w:placeholder>
                <w:docPart w:val="A14D9F33FFC6447F8E6ACF9B5326A528"/>
              </w:placeholder>
            </w:sdtPr>
            <w:sdtEndPr/>
            <w:sdtContent>
              <w:p w:rsidR="00752CAB" w:rsidRDefault="00752CAB" w:rsidP="00F66FC5">
                <w:pPr>
                  <w:pStyle w:val="Imprint-Text"/>
                  <w:framePr w:hSpace="0" w:wrap="auto" w:hAnchor="text" w:yAlign="inline"/>
                  <w:suppressOverlap w:val="0"/>
                </w:pPr>
                <w:r>
                  <w:t>At DIHR we aim to make our publications as accessible as possible. We use large font size, short (hyphen-free) lines, left-aligned text and strong contrast for maximum legibility. For further information about accessibility please click www.humanrights.dk/accessibility</w:t>
                </w:r>
              </w:p>
            </w:sdtContent>
          </w:sdt>
        </w:tc>
      </w:tr>
    </w:tbl>
    <w:p w:rsidR="0050769E" w:rsidRPr="009A79F2" w:rsidRDefault="0050769E" w:rsidP="00212FD6">
      <w:pPr>
        <w:sectPr w:rsidR="0050769E" w:rsidRPr="009A79F2" w:rsidSect="00DE0F12">
          <w:footerReference w:type="default" r:id="rId10"/>
          <w:headerReference w:type="first" r:id="rId11"/>
          <w:footerReference w:type="first" r:id="rId12"/>
          <w:endnotePr>
            <w:numFmt w:val="decimal"/>
          </w:endnotePr>
          <w:type w:val="continuous"/>
          <w:pgSz w:w="11906" w:h="16838" w:code="9"/>
          <w:pgMar w:top="2461" w:right="1985" w:bottom="1814" w:left="1985" w:header="686" w:footer="663" w:gutter="0"/>
          <w:cols w:space="708"/>
          <w:noEndnote/>
          <w:titlePg/>
          <w:docGrid w:linePitch="360"/>
        </w:sectPr>
      </w:pPr>
    </w:p>
    <w:p w:rsidR="00241F4B" w:rsidRPr="009A79F2" w:rsidRDefault="00241F4B" w:rsidP="0090414D">
      <w:pPr>
        <w:spacing w:line="14" w:lineRule="exact"/>
      </w:pPr>
    </w:p>
    <w:p w:rsidR="0004356C" w:rsidRPr="009A79F2" w:rsidRDefault="0004356C" w:rsidP="0004356C">
      <w:pPr>
        <w:spacing w:line="14" w:lineRule="exact"/>
        <w:outlineLvl w:val="0"/>
      </w:pPr>
      <w:r w:rsidRPr="009A79F2">
        <w:rPr>
          <w:noProof/>
        </w:rPr>
        <mc:AlternateContent>
          <mc:Choice Requires="wps">
            <w:drawing>
              <wp:anchor distT="0" distB="0" distL="114300" distR="114300" simplePos="0" relativeHeight="251659264" behindDoc="0" locked="1" layoutInCell="1" allowOverlap="1" wp14:anchorId="6D4B3FD1" wp14:editId="7ADC1A86">
                <wp:simplePos x="0" y="0"/>
                <wp:positionH relativeFrom="margin">
                  <wp:posOffset>-3175</wp:posOffset>
                </wp:positionH>
                <wp:positionV relativeFrom="page">
                  <wp:posOffset>0</wp:posOffset>
                </wp:positionV>
                <wp:extent cx="2876400" cy="1440000"/>
                <wp:effectExtent l="0" t="0" r="635" b="8255"/>
                <wp:wrapNone/>
                <wp:docPr id="114" name="Text Box 114"/>
                <wp:cNvGraphicFramePr/>
                <a:graphic xmlns:a="http://schemas.openxmlformats.org/drawingml/2006/main">
                  <a:graphicData uri="http://schemas.microsoft.com/office/word/2010/wordprocessingShape">
                    <wps:wsp>
                      <wps:cNvSpPr txBox="1"/>
                      <wps:spPr bwMode="auto">
                        <a:xfrm>
                          <a:off x="0" y="0"/>
                          <a:ext cx="2876400" cy="1440000"/>
                        </a:xfrm>
                        <a:prstGeom prst="rect">
                          <a:avLst/>
                        </a:prstGeom>
                        <a:solidFill>
                          <a:schemeClr val="tx2"/>
                        </a:solidFill>
                        <a:ln w="6350">
                          <a:noFill/>
                        </a:ln>
                      </wps:spPr>
                      <wps:txbx>
                        <w:txbxContent>
                          <w:bookmarkStart w:id="1" w:name="_Toc443039571" w:displacedByCustomXml="next"/>
                          <w:sdt>
                            <w:sdtPr>
                              <w:tag w:val="{&quot;templafy&quot;:{&quot;id&quot;:&quot;4212fe0f-769c-4c11-b389-83c7a2d38a79&quot;}}"/>
                              <w:id w:val="-1486925240"/>
                              <w:placeholder>
                                <w:docPart w:val="DefaultPlaceholder_-1854013440"/>
                              </w:placeholder>
                            </w:sdtPr>
                            <w:sdtEndPr/>
                            <w:sdtContent>
                              <w:bookmarkEnd w:id="1" w:displacedByCustomXml="prev"/>
                              <w:p w:rsidR="00A83BC2" w:rsidRDefault="00700E08" w:rsidP="00700E08">
                                <w:pPr>
                                  <w:pStyle w:val="TOCHeading"/>
                                  <w:spacing w:line="14" w:lineRule="atLeast"/>
                                </w:pPr>
                                <w:r>
                                  <w:t>Phase 3</w:t>
                                </w:r>
                                <w:r w:rsidRPr="00063A68">
                                  <w:t xml:space="preserve">: </w:t>
                                </w:r>
                                <w:r>
                                  <w:t>analysing impacts</w:t>
                                </w:r>
                              </w:p>
                            </w:sdtContent>
                          </w:sdt>
                        </w:txbxContent>
                      </wps:txbx>
                      <wps:bodyPr rot="0" spcFirstLastPara="0" vertOverflow="overflow" horzOverflow="overflow" vert="horz" wrap="square" lIns="216000" tIns="0" rIns="0" bIns="12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B3FD1" id="_x0000_t202" coordsize="21600,21600" o:spt="202" path="m,l,21600r21600,l21600,xe">
                <v:stroke joinstyle="miter"/>
                <v:path gradientshapeok="t" o:connecttype="rect"/>
              </v:shapetype>
              <v:shape id="Text Box 114" o:spid="_x0000_s1026" type="#_x0000_t202" style="position:absolute;margin-left:-.25pt;margin-top:0;width:226.5pt;height:11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" fillcolor="black [3215]" stroked="f" strokeweight=".5pt">
                <v:textbox inset="6mm,0,0,3.5mm">
                  <w:txbxContent>
                    <w:bookmarkStart w:id="1" w:name="_Toc443039571" w:displacedByCustomXml="next"/>
                    <w:sdt>
                      <w:sdtPr>
                        <w:tag w:val="{&quot;templafy&quot;:{&quot;id&quot;:&quot;4212fe0f-769c-4c11-b389-83c7a2d38a79&quot;}}"/>
                        <w:id w:val="-1486925240"/>
                        <w:placeholder>
                          <w:docPart w:val="DefaultPlaceholder_-1854013440"/>
                        </w:placeholder>
                      </w:sdtPr>
                      <w:sdtEndPr/>
                      <w:sdtContent>
                        <w:bookmarkEnd w:id="1" w:displacedByCustomXml="prev"/>
                        <w:p w:rsidR="00A83BC2" w:rsidRDefault="00700E08" w:rsidP="00700E08">
                          <w:pPr>
                            <w:pStyle w:val="TOCHeading"/>
                            <w:spacing w:line="14" w:lineRule="atLeast"/>
                          </w:pPr>
                          <w:r>
                            <w:t>Phase 3</w:t>
                          </w:r>
                          <w:r w:rsidRPr="00063A68">
                            <w:t xml:space="preserve">: </w:t>
                          </w:r>
                          <w:r>
                            <w:t>analysing impacts</w:t>
                          </w:r>
                        </w:p>
                      </w:sdtContent>
                    </w:sdt>
                  </w:txbxContent>
                </v:textbox>
                <w10:wrap anchorx="margin" anchory="page"/>
                <w10:anchorlock/>
              </v:shape>
            </w:pict>
          </mc:Fallback>
        </mc:AlternateContent>
      </w:r>
    </w:p>
    <w:p w:rsidR="001A4A24" w:rsidRDefault="00CB65C3">
      <w:pPr>
        <w:pStyle w:val="TOC2"/>
        <w:rPr>
          <w:rFonts w:asciiTheme="minorHAnsi" w:eastAsiaTheme="minorEastAsia" w:hAnsiTheme="minorHAnsi" w:cstheme="minorBidi"/>
          <w:b w:val="0"/>
          <w:bCs w:val="0"/>
          <w:caps w:val="0"/>
          <w:noProof/>
          <w:sz w:val="22"/>
          <w:szCs w:val="22"/>
          <w:lang w:eastAsia="zh-CN"/>
        </w:rPr>
      </w:pPr>
      <w:r w:rsidRPr="009A79F2">
        <w:rPr>
          <w:rFonts w:eastAsiaTheme="minorHAnsi" w:cstheme="minorBidi"/>
          <w:b w:val="0"/>
          <w:bCs w:val="0"/>
          <w:caps w:val="0"/>
          <w:szCs w:val="24"/>
        </w:rPr>
        <w:fldChar w:fldCharType="begin"/>
      </w:r>
      <w:r w:rsidRPr="009A79F2">
        <w:instrText xml:space="preserve"> TOC \o "2-3" \h \z \t "Heading 1;1;H1 - No numbering;1;ChapterHeadings;1;ChapterHeadings - Hidden;1" </w:instrText>
      </w:r>
      <w:r w:rsidRPr="009A79F2">
        <w:rPr>
          <w:rFonts w:eastAsiaTheme="minorHAnsi" w:cstheme="minorBidi"/>
          <w:b w:val="0"/>
          <w:bCs w:val="0"/>
          <w:caps w:val="0"/>
          <w:szCs w:val="24"/>
        </w:rPr>
        <w:fldChar w:fldCharType="separate"/>
      </w:r>
      <w:hyperlink w:anchor="_Toc26958547" w:history="1">
        <w:r w:rsidR="001A4A24" w:rsidRPr="00746E7F">
          <w:rPr>
            <w:rStyle w:val="Hyperlink"/>
            <w:noProof/>
          </w:rPr>
          <w:t>1.1</w:t>
        </w:r>
        <w:r w:rsidR="001A4A24">
          <w:rPr>
            <w:rFonts w:asciiTheme="minorHAnsi" w:eastAsiaTheme="minorEastAsia" w:hAnsiTheme="minorHAnsi" w:cstheme="minorBidi"/>
            <w:b w:val="0"/>
            <w:bCs w:val="0"/>
            <w:caps w:val="0"/>
            <w:noProof/>
            <w:sz w:val="22"/>
            <w:szCs w:val="22"/>
            <w:lang w:eastAsia="zh-CN"/>
          </w:rPr>
          <w:tab/>
        </w:r>
        <w:r w:rsidR="001A4A24" w:rsidRPr="00746E7F">
          <w:rPr>
            <w:rStyle w:val="Hyperlink"/>
            <w:noProof/>
          </w:rPr>
          <w:t>Examples of using human rights standards and principles in impact analysis</w:t>
        </w:r>
        <w:r w:rsidR="001A4A24">
          <w:rPr>
            <w:noProof/>
            <w:webHidden/>
          </w:rPr>
          <w:tab/>
        </w:r>
        <w:r w:rsidR="001A4A24">
          <w:rPr>
            <w:noProof/>
            <w:webHidden/>
          </w:rPr>
          <w:fldChar w:fldCharType="begin"/>
        </w:r>
        <w:r w:rsidR="001A4A24">
          <w:rPr>
            <w:noProof/>
            <w:webHidden/>
          </w:rPr>
          <w:instrText xml:space="preserve"> PAGEREF _Toc26958547 \h </w:instrText>
        </w:r>
        <w:r w:rsidR="001A4A24">
          <w:rPr>
            <w:noProof/>
            <w:webHidden/>
          </w:rPr>
        </w:r>
        <w:r w:rsidR="001A4A24">
          <w:rPr>
            <w:noProof/>
            <w:webHidden/>
          </w:rPr>
          <w:fldChar w:fldCharType="separate"/>
        </w:r>
        <w:r w:rsidR="00ED0EEB">
          <w:rPr>
            <w:noProof/>
            <w:webHidden/>
          </w:rPr>
          <w:t>2</w:t>
        </w:r>
        <w:r w:rsidR="001A4A24">
          <w:rPr>
            <w:noProof/>
            <w:webHidden/>
          </w:rPr>
          <w:fldChar w:fldCharType="end"/>
        </w:r>
      </w:hyperlink>
    </w:p>
    <w:p w:rsidR="001A4A24" w:rsidRDefault="00105AB7">
      <w:pPr>
        <w:pStyle w:val="TOC2"/>
        <w:rPr>
          <w:rFonts w:asciiTheme="minorHAnsi" w:eastAsiaTheme="minorEastAsia" w:hAnsiTheme="minorHAnsi" w:cstheme="minorBidi"/>
          <w:b w:val="0"/>
          <w:bCs w:val="0"/>
          <w:caps w:val="0"/>
          <w:noProof/>
          <w:sz w:val="22"/>
          <w:szCs w:val="22"/>
          <w:lang w:eastAsia="zh-CN"/>
        </w:rPr>
      </w:pPr>
      <w:hyperlink w:anchor="_Toc26958548" w:history="1">
        <w:r w:rsidR="001A4A24" w:rsidRPr="00746E7F">
          <w:rPr>
            <w:rStyle w:val="Hyperlink"/>
            <w:noProof/>
          </w:rPr>
          <w:t>1.2</w:t>
        </w:r>
        <w:r w:rsidR="001A4A24">
          <w:rPr>
            <w:rFonts w:asciiTheme="minorHAnsi" w:eastAsiaTheme="minorEastAsia" w:hAnsiTheme="minorHAnsi" w:cstheme="minorBidi"/>
            <w:b w:val="0"/>
            <w:bCs w:val="0"/>
            <w:caps w:val="0"/>
            <w:noProof/>
            <w:sz w:val="22"/>
            <w:szCs w:val="22"/>
            <w:lang w:eastAsia="zh-CN"/>
          </w:rPr>
          <w:tab/>
        </w:r>
        <w:r w:rsidR="001A4A24" w:rsidRPr="00746E7F">
          <w:rPr>
            <w:rStyle w:val="Hyperlink"/>
            <w:noProof/>
          </w:rPr>
          <w:t>Examples of different types of human rights impacts</w:t>
        </w:r>
        <w:r w:rsidR="001A4A24">
          <w:rPr>
            <w:noProof/>
            <w:webHidden/>
          </w:rPr>
          <w:tab/>
        </w:r>
        <w:r w:rsidR="001A4A24">
          <w:rPr>
            <w:noProof/>
            <w:webHidden/>
          </w:rPr>
          <w:fldChar w:fldCharType="begin"/>
        </w:r>
        <w:r w:rsidR="001A4A24">
          <w:rPr>
            <w:noProof/>
            <w:webHidden/>
          </w:rPr>
          <w:instrText xml:space="preserve"> PAGEREF _Toc26958548 \h </w:instrText>
        </w:r>
        <w:r w:rsidR="001A4A24">
          <w:rPr>
            <w:noProof/>
            <w:webHidden/>
          </w:rPr>
        </w:r>
        <w:r w:rsidR="001A4A24">
          <w:rPr>
            <w:noProof/>
            <w:webHidden/>
          </w:rPr>
          <w:fldChar w:fldCharType="separate"/>
        </w:r>
        <w:r w:rsidR="00ED0EEB">
          <w:rPr>
            <w:noProof/>
            <w:webHidden/>
          </w:rPr>
          <w:t>6</w:t>
        </w:r>
        <w:r w:rsidR="001A4A24">
          <w:rPr>
            <w:noProof/>
            <w:webHidden/>
          </w:rPr>
          <w:fldChar w:fldCharType="end"/>
        </w:r>
      </w:hyperlink>
    </w:p>
    <w:p w:rsidR="001A4A24" w:rsidRDefault="00105AB7">
      <w:pPr>
        <w:pStyle w:val="TOC2"/>
        <w:rPr>
          <w:rFonts w:asciiTheme="minorHAnsi" w:eastAsiaTheme="minorEastAsia" w:hAnsiTheme="minorHAnsi" w:cstheme="minorBidi"/>
          <w:b w:val="0"/>
          <w:bCs w:val="0"/>
          <w:caps w:val="0"/>
          <w:noProof/>
          <w:sz w:val="22"/>
          <w:szCs w:val="22"/>
          <w:lang w:eastAsia="zh-CN"/>
        </w:rPr>
      </w:pPr>
      <w:hyperlink w:anchor="_Toc26958549" w:history="1">
        <w:r w:rsidR="001A4A24" w:rsidRPr="00746E7F">
          <w:rPr>
            <w:rStyle w:val="Hyperlink"/>
            <w:noProof/>
          </w:rPr>
          <w:t>1.3</w:t>
        </w:r>
        <w:r w:rsidR="001A4A24">
          <w:rPr>
            <w:rFonts w:asciiTheme="minorHAnsi" w:eastAsiaTheme="minorEastAsia" w:hAnsiTheme="minorHAnsi" w:cstheme="minorBidi"/>
            <w:b w:val="0"/>
            <w:bCs w:val="0"/>
            <w:caps w:val="0"/>
            <w:noProof/>
            <w:sz w:val="22"/>
            <w:szCs w:val="22"/>
            <w:lang w:eastAsia="zh-CN"/>
          </w:rPr>
          <w:tab/>
        </w:r>
        <w:r w:rsidR="001A4A24" w:rsidRPr="00746E7F">
          <w:rPr>
            <w:rStyle w:val="Hyperlink"/>
            <w:noProof/>
          </w:rPr>
          <w:t>Framework for assessing impact severity</w:t>
        </w:r>
        <w:r w:rsidR="001A4A24">
          <w:rPr>
            <w:noProof/>
            <w:webHidden/>
          </w:rPr>
          <w:tab/>
        </w:r>
        <w:r w:rsidR="001A4A24">
          <w:rPr>
            <w:noProof/>
            <w:webHidden/>
          </w:rPr>
          <w:fldChar w:fldCharType="begin"/>
        </w:r>
        <w:r w:rsidR="001A4A24">
          <w:rPr>
            <w:noProof/>
            <w:webHidden/>
          </w:rPr>
          <w:instrText xml:space="preserve"> PAGEREF _Toc26958549 \h </w:instrText>
        </w:r>
        <w:r w:rsidR="001A4A24">
          <w:rPr>
            <w:noProof/>
            <w:webHidden/>
          </w:rPr>
        </w:r>
        <w:r w:rsidR="001A4A24">
          <w:rPr>
            <w:noProof/>
            <w:webHidden/>
          </w:rPr>
          <w:fldChar w:fldCharType="separate"/>
        </w:r>
        <w:r w:rsidR="00ED0EEB">
          <w:rPr>
            <w:noProof/>
            <w:webHidden/>
          </w:rPr>
          <w:t>8</w:t>
        </w:r>
        <w:r w:rsidR="001A4A24">
          <w:rPr>
            <w:noProof/>
            <w:webHidden/>
          </w:rPr>
          <w:fldChar w:fldCharType="end"/>
        </w:r>
      </w:hyperlink>
    </w:p>
    <w:p w:rsidR="00CB65C3" w:rsidRPr="009A79F2" w:rsidRDefault="00CB65C3" w:rsidP="00CB65C3">
      <w:pPr>
        <w:pStyle w:val="TOC1"/>
        <w:spacing w:line="14" w:lineRule="exact"/>
      </w:pPr>
      <w:r w:rsidRPr="009A79F2">
        <w:fldChar w:fldCharType="end"/>
      </w:r>
    </w:p>
    <w:p w:rsidR="00CB65C3" w:rsidRDefault="00CB65C3" w:rsidP="00CB65C3"/>
    <w:p w:rsidR="00CB65C3" w:rsidRDefault="00CB65C3" w:rsidP="00700E08">
      <w:pPr>
        <w:pStyle w:val="TOC2"/>
        <w:tabs>
          <w:tab w:val="left" w:pos="851"/>
        </w:tabs>
        <w:rPr>
          <w:noProof/>
        </w:rPr>
      </w:pPr>
    </w:p>
    <w:p w:rsidR="0009603A" w:rsidRPr="009A79F2" w:rsidRDefault="0009603A" w:rsidP="0009603A">
      <w:pPr>
        <w:pStyle w:val="TOC1"/>
        <w:spacing w:line="14" w:lineRule="exact"/>
      </w:pPr>
    </w:p>
    <w:p w:rsidR="00946A4C" w:rsidRDefault="00946A4C" w:rsidP="0009603A"/>
    <w:p w:rsidR="0051575A" w:rsidRPr="009A79F2" w:rsidRDefault="0051575A" w:rsidP="0009603A"/>
    <w:tbl>
      <w:tblPr>
        <w:tblStyle w:val="TableGrid"/>
        <w:tblW w:w="0" w:type="auto"/>
        <w:tblInd w:w="108" w:type="dxa"/>
        <w:shd w:val="clear" w:color="auto" w:fill="FF3B9C" w:themeFill="accent3" w:themeFillTint="99"/>
        <w:tblLook w:val="04A0" w:firstRow="1" w:lastRow="0" w:firstColumn="1" w:lastColumn="0" w:noHBand="0" w:noVBand="1"/>
      </w:tblPr>
      <w:tblGrid>
        <w:gridCol w:w="7818"/>
      </w:tblGrid>
      <w:tr w:rsidR="00700E08" w:rsidRPr="00063A68" w:rsidTr="00700E08">
        <w:tc>
          <w:tcPr>
            <w:tcW w:w="7938" w:type="dxa"/>
            <w:shd w:val="clear" w:color="auto" w:fill="C2D69B"/>
          </w:tcPr>
          <w:p w:rsidR="00700E08" w:rsidRPr="00635DEB" w:rsidRDefault="00700E08" w:rsidP="00877474">
            <w:pPr>
              <w:spacing w:before="120" w:after="120"/>
              <w:rPr>
                <w:b/>
              </w:rPr>
            </w:pPr>
            <w:r w:rsidRPr="00635DEB">
              <w:rPr>
                <w:b/>
              </w:rPr>
              <w:t xml:space="preserve">In </w:t>
            </w:r>
            <w:hyperlink r:id="rId13" w:history="1">
              <w:r>
                <w:rPr>
                  <w:rStyle w:val="Hyperlink"/>
                  <w:b/>
                </w:rPr>
                <w:t>Phase 3: Analysing Impacts</w:t>
              </w:r>
            </w:hyperlink>
            <w:r>
              <w:rPr>
                <w:b/>
              </w:rPr>
              <w:t xml:space="preserve"> </w:t>
            </w:r>
            <w:r w:rsidRPr="00635DEB">
              <w:rPr>
                <w:b/>
              </w:rPr>
              <w:t>you can find an overview of this HRIA phase.</w:t>
            </w:r>
          </w:p>
          <w:p w:rsidR="00700E08" w:rsidRPr="00635DEB" w:rsidRDefault="00700E08" w:rsidP="00877474">
            <w:pPr>
              <w:spacing w:before="120" w:after="120"/>
              <w:rPr>
                <w:b/>
              </w:rPr>
            </w:pPr>
            <w:r w:rsidRPr="00635DEB">
              <w:rPr>
                <w:b/>
              </w:rPr>
              <w:t>In this Practitioner Supplement you will find:</w:t>
            </w:r>
          </w:p>
          <w:p w:rsidR="00700E08" w:rsidRPr="00322393" w:rsidRDefault="00700E08" w:rsidP="00700E08">
            <w:pPr>
              <w:pStyle w:val="ListBullet"/>
              <w:numPr>
                <w:ilvl w:val="0"/>
                <w:numId w:val="22"/>
              </w:numPr>
              <w:spacing w:line="240" w:lineRule="auto"/>
              <w:rPr>
                <w:b/>
              </w:rPr>
            </w:pPr>
            <w:r w:rsidRPr="00322393">
              <w:rPr>
                <w:b/>
              </w:rPr>
              <w:t>Examples of how international human rights standards and principles can be used in the analysis of human rights impacts</w:t>
            </w:r>
          </w:p>
          <w:p w:rsidR="00700E08" w:rsidRPr="00322393" w:rsidRDefault="00700E08" w:rsidP="00700E08">
            <w:pPr>
              <w:pStyle w:val="ListBullet"/>
              <w:numPr>
                <w:ilvl w:val="0"/>
                <w:numId w:val="22"/>
              </w:numPr>
              <w:spacing w:line="240" w:lineRule="auto"/>
              <w:rPr>
                <w:b/>
              </w:rPr>
            </w:pPr>
            <w:r w:rsidRPr="00322393">
              <w:rPr>
                <w:b/>
              </w:rPr>
              <w:t xml:space="preserve">Examples of the different types of human rights impacts to be included in HRIA </w:t>
            </w:r>
          </w:p>
          <w:p w:rsidR="00700E08" w:rsidRPr="00322393" w:rsidRDefault="00700E08" w:rsidP="00700E08">
            <w:pPr>
              <w:pStyle w:val="ListBullet"/>
              <w:numPr>
                <w:ilvl w:val="0"/>
                <w:numId w:val="22"/>
              </w:numPr>
              <w:spacing w:line="240" w:lineRule="auto"/>
              <w:rPr>
                <w:b/>
              </w:rPr>
            </w:pPr>
            <w:r w:rsidRPr="00322393">
              <w:rPr>
                <w:b/>
              </w:rPr>
              <w:t>A framework for assessing human rights impact severity, including examples</w:t>
            </w:r>
          </w:p>
          <w:p w:rsidR="00700E08" w:rsidRPr="00B92DED" w:rsidRDefault="00700E08" w:rsidP="00B92DED">
            <w:pPr>
              <w:pStyle w:val="ListBullet"/>
              <w:numPr>
                <w:ilvl w:val="0"/>
                <w:numId w:val="0"/>
              </w:numPr>
              <w:spacing w:before="120" w:after="120" w:line="280" w:lineRule="atLeast"/>
              <w:contextualSpacing w:val="0"/>
              <w:rPr>
                <w:b/>
              </w:rPr>
            </w:pPr>
            <w:r w:rsidRPr="00063A68">
              <w:rPr>
                <w:b/>
              </w:rPr>
              <w:t>This Practitioner Supplement is a part of the Human Rights Impact Assessment Guidance and Toolbox.</w:t>
            </w:r>
            <w:r w:rsidR="00B92DED">
              <w:rPr>
                <w:b/>
              </w:rPr>
              <w:t xml:space="preserve"> </w:t>
            </w:r>
            <w:r w:rsidRPr="00063A68">
              <w:rPr>
                <w:b/>
              </w:rPr>
              <w:t xml:space="preserve">You can find the full version here: </w:t>
            </w:r>
            <w:hyperlink r:id="rId14" w:history="1">
              <w:r w:rsidR="001A4A24" w:rsidRPr="001A4A24">
                <w:rPr>
                  <w:rStyle w:val="Hyperlink"/>
                  <w:b/>
                  <w:bCs/>
                </w:rPr>
                <w:t>https://www.humanrights.dk/hria-toolbox/</w:t>
              </w:r>
            </w:hyperlink>
          </w:p>
        </w:tc>
      </w:tr>
    </w:tbl>
    <w:p w:rsidR="0060352F" w:rsidRPr="009A79F2" w:rsidRDefault="0060352F" w:rsidP="00497EEE">
      <w:pPr>
        <w:sectPr w:rsidR="0060352F" w:rsidRPr="009A79F2" w:rsidSect="001A4A24">
          <w:footerReference w:type="even" r:id="rId15"/>
          <w:endnotePr>
            <w:numFmt w:val="decimal"/>
          </w:endnotePr>
          <w:pgSz w:w="11906" w:h="16838" w:code="9"/>
          <w:pgMar w:top="4961" w:right="1985" w:bottom="1814" w:left="1985" w:header="686" w:footer="663" w:gutter="0"/>
          <w:pgNumType w:start="1"/>
          <w:cols w:space="708"/>
          <w:noEndnote/>
          <w:docGrid w:linePitch="360"/>
        </w:sectPr>
      </w:pPr>
    </w:p>
    <w:p w:rsidR="00700E08" w:rsidRPr="00063A68" w:rsidRDefault="00700E08" w:rsidP="00700E08">
      <w:pPr>
        <w:pStyle w:val="Heading2"/>
      </w:pPr>
      <w:bookmarkStart w:id="2" w:name="_Toc441240043"/>
      <w:bookmarkStart w:id="3" w:name="_Toc26958547"/>
      <w:r>
        <w:lastRenderedPageBreak/>
        <w:t>Examples of using human rights standards and principles in impact analysis</w:t>
      </w:r>
      <w:bookmarkEnd w:id="2"/>
      <w:bookmarkEnd w:id="3"/>
    </w:p>
    <w:p w:rsidR="00700E08" w:rsidRPr="00635DEB" w:rsidRDefault="00700E08" w:rsidP="007B46FB">
      <w:pPr>
        <w:autoSpaceDE w:val="0"/>
        <w:autoSpaceDN w:val="0"/>
        <w:adjustRightInd w:val="0"/>
        <w:spacing w:before="120" w:after="240"/>
        <w:rPr>
          <w:rFonts w:asciiTheme="minorHAnsi" w:hAnsiTheme="minorHAnsi" w:cs="MyriadPro-Light"/>
        </w:rPr>
      </w:pPr>
      <w:r w:rsidRPr="00635DEB">
        <w:rPr>
          <w:rFonts w:asciiTheme="minorHAnsi" w:hAnsiTheme="minorHAnsi" w:cs="MyriadPro-Light"/>
        </w:rPr>
        <w:t xml:space="preserve">An adverse human rights impact occurs when an action or omission removes or reduces the ability of an individual to enjoy </w:t>
      </w:r>
      <w:r w:rsidR="00B92DED">
        <w:rPr>
          <w:rFonts w:asciiTheme="minorHAnsi" w:hAnsiTheme="minorHAnsi" w:cs="MyriadPro-Light"/>
        </w:rPr>
        <w:t>their</w:t>
      </w:r>
      <w:r w:rsidRPr="00635DEB">
        <w:rPr>
          <w:rFonts w:asciiTheme="minorHAnsi" w:hAnsiTheme="minorHAnsi" w:cs="MyriadPro-Light"/>
        </w:rPr>
        <w:t xml:space="preserve"> human rights. </w:t>
      </w:r>
      <w:r w:rsidRPr="00635DEB">
        <w:t xml:space="preserve">But how exactly can we determine whether a human rights impact has occurred in practice? </w:t>
      </w:r>
    </w:p>
    <w:p w:rsidR="00700E08" w:rsidRPr="00635DEB" w:rsidRDefault="00700E08" w:rsidP="007B46FB">
      <w:pPr>
        <w:spacing w:before="120" w:after="240"/>
      </w:pPr>
      <w:r w:rsidRPr="003B62C8">
        <w:t>Table A,</w:t>
      </w:r>
      <w:r w:rsidRPr="00635DEB">
        <w:t xml:space="preserve"> below, provides some illustrative examples of how specific human rights standards and principles might be considered in the analysis of human rights impacts. </w:t>
      </w:r>
    </w:p>
    <w:tbl>
      <w:tblPr>
        <w:tblStyle w:val="TableGrid"/>
        <w:tblW w:w="5000" w:type="pct"/>
        <w:shd w:val="clear" w:color="auto" w:fill="FF7CBD" w:themeFill="accent3" w:themeFillTint="66"/>
        <w:tblLook w:val="04A0" w:firstRow="1" w:lastRow="0" w:firstColumn="1" w:lastColumn="0" w:noHBand="0" w:noVBand="1"/>
      </w:tblPr>
      <w:tblGrid>
        <w:gridCol w:w="1840"/>
        <w:gridCol w:w="6086"/>
      </w:tblGrid>
      <w:tr w:rsidR="00700E08" w:rsidRPr="006E7003" w:rsidTr="00700E08">
        <w:trPr>
          <w:tblHeader/>
        </w:trPr>
        <w:tc>
          <w:tcPr>
            <w:tcW w:w="5000" w:type="pct"/>
            <w:gridSpan w:val="2"/>
            <w:shd w:val="clear" w:color="auto" w:fill="D6E3BC"/>
          </w:tcPr>
          <w:p w:rsidR="00700E08" w:rsidRPr="006E7003" w:rsidRDefault="00700E08" w:rsidP="00877474">
            <w:pPr>
              <w:spacing w:before="120" w:after="120" w:line="280" w:lineRule="atLeast"/>
              <w:rPr>
                <w:b/>
              </w:rPr>
            </w:pPr>
            <w:r w:rsidRPr="003B62C8">
              <w:rPr>
                <w:b/>
              </w:rPr>
              <w:t>Table A</w:t>
            </w:r>
            <w:r w:rsidRPr="00FB0503">
              <w:rPr>
                <w:b/>
              </w:rPr>
              <w:t>:</w:t>
            </w:r>
            <w:r w:rsidRPr="006E7003">
              <w:rPr>
                <w:b/>
              </w:rPr>
              <w:t xml:space="preserve"> Examples of </w:t>
            </w:r>
            <w:r>
              <w:rPr>
                <w:b/>
              </w:rPr>
              <w:t xml:space="preserve">using human rights </w:t>
            </w:r>
            <w:r w:rsidRPr="006E7003">
              <w:rPr>
                <w:b/>
              </w:rPr>
              <w:t xml:space="preserve">standards and principles in </w:t>
            </w:r>
            <w:r>
              <w:rPr>
                <w:b/>
              </w:rPr>
              <w:t>impact analysis</w:t>
            </w:r>
            <w:r w:rsidRPr="006E7003">
              <w:rPr>
                <w:b/>
              </w:rPr>
              <w:t xml:space="preserve"> </w:t>
            </w:r>
          </w:p>
        </w:tc>
      </w:tr>
      <w:tr w:rsidR="00700E08" w:rsidRPr="006E7003" w:rsidTr="00700E08">
        <w:trPr>
          <w:tblHeader/>
        </w:trPr>
        <w:tc>
          <w:tcPr>
            <w:tcW w:w="1161" w:type="pct"/>
            <w:shd w:val="clear" w:color="auto" w:fill="D6E3BC"/>
          </w:tcPr>
          <w:p w:rsidR="00700E08" w:rsidRPr="006E7003" w:rsidRDefault="00700E08" w:rsidP="00877474">
            <w:pPr>
              <w:spacing w:before="120" w:after="120" w:line="280" w:lineRule="atLeast"/>
              <w:rPr>
                <w:b/>
              </w:rPr>
            </w:pPr>
            <w:r w:rsidRPr="006E7003">
              <w:rPr>
                <w:b/>
              </w:rPr>
              <w:t>Example scenario</w:t>
            </w:r>
          </w:p>
        </w:tc>
        <w:tc>
          <w:tcPr>
            <w:tcW w:w="3839" w:type="pct"/>
            <w:shd w:val="clear" w:color="auto" w:fill="D6E3BC"/>
          </w:tcPr>
          <w:p w:rsidR="00700E08" w:rsidRPr="006E7003" w:rsidRDefault="00700E08" w:rsidP="00877474">
            <w:pPr>
              <w:spacing w:before="120" w:after="120" w:line="280" w:lineRule="atLeast"/>
              <w:rPr>
                <w:b/>
              </w:rPr>
            </w:pPr>
            <w:r w:rsidRPr="006E7003">
              <w:rPr>
                <w:b/>
              </w:rPr>
              <w:t>Examples of human rights standards and principles for analysis</w:t>
            </w:r>
          </w:p>
        </w:tc>
      </w:tr>
      <w:tr w:rsidR="00700E08" w:rsidRPr="006E7003" w:rsidTr="00700E08">
        <w:tc>
          <w:tcPr>
            <w:tcW w:w="1161" w:type="pct"/>
            <w:shd w:val="clear" w:color="auto" w:fill="D6E3BC"/>
          </w:tcPr>
          <w:p w:rsidR="00700E08" w:rsidRPr="006E7003" w:rsidRDefault="00700E08" w:rsidP="00877474">
            <w:pPr>
              <w:spacing w:before="120"/>
            </w:pPr>
            <w:r w:rsidRPr="006E7003">
              <w:t>A textile factory discharges chemical effluents into a river which local communities use for drinking. The effluents damage the water quality affecting people’s health.</w:t>
            </w:r>
          </w:p>
          <w:p w:rsidR="00700E08" w:rsidRPr="006E7003" w:rsidRDefault="00700E08" w:rsidP="00877474">
            <w:pPr>
              <w:spacing w:before="120" w:after="120" w:line="280" w:lineRule="atLeast"/>
              <w:ind w:left="360"/>
            </w:pPr>
          </w:p>
        </w:tc>
        <w:tc>
          <w:tcPr>
            <w:tcW w:w="3839" w:type="pct"/>
            <w:shd w:val="clear" w:color="auto" w:fill="D6E3BC"/>
          </w:tcPr>
          <w:p w:rsidR="00700E08" w:rsidRPr="006E7003" w:rsidRDefault="00700E08" w:rsidP="00877474">
            <w:pPr>
              <w:spacing w:before="120" w:after="120" w:line="280" w:lineRule="atLeast"/>
            </w:pPr>
            <w:r w:rsidRPr="006E7003">
              <w:t>The right to the highest standard of physical and mental health focuses on two key aspects: (i) the provision of healthcare services, and (ii) underlying determinants, which includes considerations such as whether the environment in which people live is free from pollution. In this example</w:t>
            </w:r>
            <w:r>
              <w:t>,</w:t>
            </w:r>
            <w:r w:rsidRPr="006E7003">
              <w:t xml:space="preserve"> the company appears to be having an adverse impact on the right to health by causing pollution that is impacting on people’s health. </w:t>
            </w:r>
          </w:p>
          <w:p w:rsidR="00700E08" w:rsidRPr="006E7003" w:rsidRDefault="00700E08" w:rsidP="00877474">
            <w:pPr>
              <w:spacing w:before="120" w:after="120" w:line="280" w:lineRule="atLeast"/>
            </w:pPr>
            <w:r w:rsidRPr="006E7003">
              <w:t>The right to water and sanitation has recently been formalised as a stand-alone human right (although it has always been part of the right to health and the right to an adequate standard of living). It encompasses that people are entitled to water for drinking, cooking and sanitation; and that such water is available, accessible, acceptable and of sufficient quality (AAAQ). In this example, in particular the last component, a reduction in the quality of the water, is at issue. However, given that the river is no longer a suitable source of drinking water, the accessibility and availability may also be impacted depending on what other water sources are available, and should therefore be considered in the analysis.</w:t>
            </w:r>
          </w:p>
        </w:tc>
      </w:tr>
      <w:tr w:rsidR="00700E08" w:rsidRPr="006E7003" w:rsidTr="00700E08">
        <w:tc>
          <w:tcPr>
            <w:tcW w:w="1161" w:type="pct"/>
            <w:shd w:val="clear" w:color="auto" w:fill="D6E3BC"/>
          </w:tcPr>
          <w:p w:rsidR="00700E08" w:rsidRPr="006E7003" w:rsidRDefault="00700E08" w:rsidP="00877474">
            <w:pPr>
              <w:spacing w:before="120" w:after="120"/>
            </w:pPr>
            <w:r w:rsidRPr="006E7003">
              <w:t xml:space="preserve">A cement </w:t>
            </w:r>
            <w:r>
              <w:t>plant</w:t>
            </w:r>
            <w:r w:rsidRPr="006E7003">
              <w:t xml:space="preserve"> is operating in a </w:t>
            </w:r>
            <w:r w:rsidRPr="006E7003">
              <w:lastRenderedPageBreak/>
              <w:t xml:space="preserve">country where it is customary that women do not take part in the formal labour market, with the result that the cement </w:t>
            </w:r>
            <w:r>
              <w:t>plant</w:t>
            </w:r>
            <w:r w:rsidRPr="006E7003">
              <w:t xml:space="preserve"> does not employ any women. </w:t>
            </w:r>
          </w:p>
        </w:tc>
        <w:tc>
          <w:tcPr>
            <w:tcW w:w="3839" w:type="pct"/>
            <w:shd w:val="clear" w:color="auto" w:fill="D6E3BC"/>
          </w:tcPr>
          <w:p w:rsidR="00700E08" w:rsidRPr="006E7003" w:rsidRDefault="00700E08" w:rsidP="00877474">
            <w:pPr>
              <w:spacing w:before="120" w:after="120" w:line="280" w:lineRule="atLeast"/>
            </w:pPr>
            <w:r w:rsidRPr="006E7003">
              <w:lastRenderedPageBreak/>
              <w:t xml:space="preserve">The right to non-discrimination is a cornerstone of international human rights law. This includes considerations </w:t>
            </w:r>
            <w:r w:rsidRPr="006E7003">
              <w:lastRenderedPageBreak/>
              <w:t>of both direct discrimination (i.e.</w:t>
            </w:r>
            <w:r w:rsidR="00B92DED">
              <w:t>,</w:t>
            </w:r>
            <w:r w:rsidRPr="006E7003">
              <w:t xml:space="preserve"> addressing unjustified differential treatment, to promote ‘formal’ equality) and indirect discrimination (i.e.</w:t>
            </w:r>
            <w:r w:rsidR="00777E30">
              <w:t>,</w:t>
            </w:r>
            <w:r w:rsidRPr="006E7003">
              <w:t xml:space="preserve"> addressing conditions which, </w:t>
            </w:r>
            <w:r w:rsidR="00777E30">
              <w:t>while</w:t>
            </w:r>
            <w:r w:rsidRPr="006E7003">
              <w:t xml:space="preserve"> neutral in appearance, disadvantage certain protected groups, to foster ‘substantive’ equality). For example, the non-discrimination provision in the European Convention on Human Rights (Article 14) is now understood to prohibit neutral measures where these adversely affect certain minority groups.</w:t>
            </w:r>
            <w:r w:rsidRPr="006E7003">
              <w:rPr>
                <w:rStyle w:val="FootnoteReference"/>
              </w:rPr>
              <w:footnoteReference w:id="1"/>
            </w:r>
          </w:p>
          <w:p w:rsidR="00700E08" w:rsidRPr="006E7003" w:rsidRDefault="00700E08" w:rsidP="00877474">
            <w:pPr>
              <w:spacing w:before="120" w:after="120" w:line="280" w:lineRule="atLeast"/>
            </w:pPr>
            <w:r w:rsidRPr="006E7003">
              <w:t>In recognition of systemic discrimination that may be faced by particular rights-holder groups, some international human rights t</w:t>
            </w:r>
            <w:r w:rsidR="00A22499">
              <w:t>reaties also expressly require s</w:t>
            </w:r>
            <w:r w:rsidRPr="006E7003">
              <w:t>tates to take and facilitate positive action to eliminate discrimination (e.g.</w:t>
            </w:r>
            <w:r w:rsidR="00A22499">
              <w:t>,</w:t>
            </w:r>
            <w:r w:rsidRPr="006E7003">
              <w:t xml:space="preserve"> the Convention on the Elimination of All Forms of Racial Discrimination and the Convention on the Elimination of All Forms of Discrimination against Women). This can be in the form of </w:t>
            </w:r>
            <w:r w:rsidR="00C41DD1">
              <w:t>the s</w:t>
            </w:r>
            <w:r>
              <w:t xml:space="preserve">tate </w:t>
            </w:r>
            <w:r w:rsidRPr="006E7003">
              <w:t>taking</w:t>
            </w:r>
            <w:r>
              <w:t>,</w:t>
            </w:r>
            <w:r w:rsidRPr="006E7003">
              <w:t xml:space="preserve"> and</w:t>
            </w:r>
            <w:r>
              <w:t xml:space="preserve"> permitting other third parties</w:t>
            </w:r>
            <w:r w:rsidRPr="006E7003">
              <w:t xml:space="preserve"> such as business</w:t>
            </w:r>
            <w:r>
              <w:t xml:space="preserve"> to take</w:t>
            </w:r>
            <w:r w:rsidRPr="006E7003">
              <w:t xml:space="preserve">, </w:t>
            </w:r>
            <w:r>
              <w:t>‘special measures’;</w:t>
            </w:r>
            <w:r w:rsidRPr="006E7003">
              <w:t xml:space="preserve"> essentially a provision to allow and promote affirmative action measures providing that these are targeted and temporary. </w:t>
            </w:r>
          </w:p>
          <w:p w:rsidR="00700E08" w:rsidRPr="006E7003" w:rsidRDefault="00700E08" w:rsidP="00877474">
            <w:pPr>
              <w:spacing w:before="120" w:after="120" w:line="280" w:lineRule="atLeast"/>
            </w:pPr>
            <w:r w:rsidRPr="006E7003">
              <w:t xml:space="preserve">First and foremost, the company in the example would need </w:t>
            </w:r>
            <w:r w:rsidRPr="00EC3018">
              <w:t xml:space="preserve">to </w:t>
            </w:r>
            <w:r w:rsidRPr="00EC3018">
              <w:rPr>
                <w:rFonts w:eastAsia="Calibri" w:cs="Times New Roman"/>
              </w:rPr>
              <w:t>ensure equal opportunities</w:t>
            </w:r>
            <w:r w:rsidRPr="00EC3018">
              <w:rPr>
                <w:rFonts w:eastAsia="Calibri" w:cs="Times New Roman"/>
                <w:sz w:val="20"/>
                <w:szCs w:val="20"/>
              </w:rPr>
              <w:t xml:space="preserve"> </w:t>
            </w:r>
            <w:r w:rsidRPr="006E7003">
              <w:t>in hiring and other aspects of employment. However, to avoid contributing to discrimination against women in the formal labour market, the company may also want to take steps to encourage women to apply for jobs, and include some preventive measures to avoid unforeseen adverse impacts on women if they work. For example, by providing working conditions that address the reasons why women do not participate in the formal labour market</w:t>
            </w:r>
            <w:r>
              <w:t>,</w:t>
            </w:r>
            <w:r w:rsidRPr="006E7003">
              <w:t xml:space="preserve"> or applying for an exemption under non-discrimination legislation to target hiring women. </w:t>
            </w:r>
          </w:p>
        </w:tc>
      </w:tr>
      <w:tr w:rsidR="00700E08" w:rsidRPr="006E7003" w:rsidTr="00700E08">
        <w:tc>
          <w:tcPr>
            <w:tcW w:w="1161" w:type="pct"/>
            <w:shd w:val="clear" w:color="auto" w:fill="D6E3BC"/>
          </w:tcPr>
          <w:p w:rsidR="00700E08" w:rsidRPr="006E7003" w:rsidRDefault="00700E08" w:rsidP="00877474">
            <w:pPr>
              <w:spacing w:before="120" w:after="120"/>
            </w:pPr>
            <w:r w:rsidRPr="006E7003">
              <w:lastRenderedPageBreak/>
              <w:t>A hydropower dam project is in the planning stages and the company does not make the environmental impact assessment that has been conducted publicly available.</w:t>
            </w:r>
          </w:p>
        </w:tc>
        <w:tc>
          <w:tcPr>
            <w:tcW w:w="3839" w:type="pct"/>
            <w:shd w:val="clear" w:color="auto" w:fill="D6E3BC"/>
          </w:tcPr>
          <w:p w:rsidR="00700E08" w:rsidRPr="006E7003" w:rsidRDefault="00700E08" w:rsidP="00877474">
            <w:pPr>
              <w:spacing w:before="120" w:after="120" w:line="280" w:lineRule="atLeast"/>
            </w:pPr>
            <w:r w:rsidRPr="006E7003">
              <w:t xml:space="preserve">Access to information is a human right, recognised as part of the right to freedom of expression, as well as an important component of the right to participation. This includes that rights-holders must have access to information that is timely, adequate, accessible and appropriate for enabling them to meaningfully participate in decision-making that affects them. </w:t>
            </w:r>
          </w:p>
          <w:p w:rsidR="00700E08" w:rsidRPr="006E7003" w:rsidRDefault="00700E08" w:rsidP="00877474">
            <w:pPr>
              <w:spacing w:before="120" w:after="120" w:line="280" w:lineRule="atLeast"/>
            </w:pPr>
            <w:r w:rsidRPr="006E7003">
              <w:t>There are also specific provisions in international law regarding people’s participation in environmental decision-making, for example in the Åarhus Convention</w:t>
            </w:r>
            <w:r>
              <w:t xml:space="preserve"> (1998)</w:t>
            </w:r>
            <w:r w:rsidRPr="006E7003">
              <w:t>. Therefore, the company should publicly report its environmental impact assessment.</w:t>
            </w:r>
          </w:p>
        </w:tc>
      </w:tr>
      <w:tr w:rsidR="00700E08" w:rsidRPr="006E7003" w:rsidTr="00700E08">
        <w:tc>
          <w:tcPr>
            <w:tcW w:w="1161" w:type="pct"/>
            <w:shd w:val="clear" w:color="auto" w:fill="D6E3BC"/>
          </w:tcPr>
          <w:p w:rsidR="00700E08" w:rsidRPr="006E7003" w:rsidRDefault="00700E08" w:rsidP="00877474">
            <w:pPr>
              <w:spacing w:before="120" w:after="120"/>
            </w:pPr>
            <w:r w:rsidRPr="006E7003">
              <w:t xml:space="preserve">People are resettled by a mining company to alternative land, without sufficiently consulting them on the suitability of the alternative location. </w:t>
            </w:r>
          </w:p>
          <w:p w:rsidR="00700E08" w:rsidRPr="006E7003" w:rsidRDefault="00700E08" w:rsidP="00877474">
            <w:pPr>
              <w:spacing w:before="120" w:after="120" w:line="280" w:lineRule="atLeast"/>
              <w:ind w:left="360"/>
            </w:pPr>
          </w:p>
        </w:tc>
        <w:tc>
          <w:tcPr>
            <w:tcW w:w="3839" w:type="pct"/>
            <w:shd w:val="clear" w:color="auto" w:fill="D6E3BC"/>
          </w:tcPr>
          <w:p w:rsidR="00700E08" w:rsidRPr="006E7003" w:rsidRDefault="00700E08" w:rsidP="00877474">
            <w:pPr>
              <w:spacing w:before="120" w:after="120" w:line="280" w:lineRule="atLeast"/>
            </w:pPr>
            <w:r w:rsidRPr="006E7003">
              <w:t>The right to property is not absolute and the government is entitled to acquire land and other property, providing that it is necessary in the national interest, due process is followed and people are adequately compensated. However, the compulsory acquisition of propert</w:t>
            </w:r>
            <w:r w:rsidR="00C41DD1">
              <w:t>y can only be exercised by the s</w:t>
            </w:r>
            <w:r w:rsidRPr="006E7003">
              <w:t>tate, which also retains the duty to ensure that any acquisition of property and resettlement of people occurs in accordance with the applicable standards. Therefore, the HRIA should consider the arrangement that has been made between the government and the company in detail, including evaluating whether the government has breached its human rights duty to protect by allowing the resettlement to occur without following due process or a failure to monitor that the company has applied the requisite standards. It will also be necessary to examine in detail the division of roles and responsibilities of the government and the company in the resettlement, especially with regard to consultation and livelihood restoration.</w:t>
            </w:r>
          </w:p>
          <w:p w:rsidR="00700E08" w:rsidRPr="006E7003" w:rsidRDefault="00700E08" w:rsidP="00877474">
            <w:pPr>
              <w:spacing w:before="120" w:after="120" w:line="280" w:lineRule="atLeast"/>
            </w:pPr>
            <w:r w:rsidRPr="006E7003">
              <w:t xml:space="preserve">When considering the impacts of resettlement it is also particularly </w:t>
            </w:r>
            <w:r>
              <w:t>important to consider the inter</w:t>
            </w:r>
            <w:r w:rsidRPr="006E7003">
              <w:t xml:space="preserve">relatedness of human rights. For example, if the alternative location is far </w:t>
            </w:r>
            <w:r w:rsidRPr="006E7003">
              <w:lastRenderedPageBreak/>
              <w:t xml:space="preserve">from educational or healthcare facilities, </w:t>
            </w:r>
            <w:r>
              <w:t>the rights to education or health</w:t>
            </w:r>
            <w:r w:rsidRPr="006E7003">
              <w:t xml:space="preserve"> may also be negatively impacted. Or if the communities being resettled rely on land and agricultural activities for subsistence, if the land at alternative locations is not arable enough then the rights to food, water and an adequate standard of living may be impacted. Furthermore, it will be necessary to look carefully at how different rights-holders experience any impacts associated with the resettlement. For example, the distance that children will travel to school as a result of the resettlement may have an impact on their right to education, or if women in subsistence communities bear the primary responsibilities for food gathering and agricultural activities their experience of any impacts on the right to food are likely to be more severe. </w:t>
            </w:r>
          </w:p>
        </w:tc>
      </w:tr>
      <w:tr w:rsidR="00700E08" w:rsidRPr="006E7003" w:rsidTr="00700E08">
        <w:tc>
          <w:tcPr>
            <w:tcW w:w="1161" w:type="pct"/>
            <w:shd w:val="clear" w:color="auto" w:fill="D6E3BC"/>
          </w:tcPr>
          <w:p w:rsidR="00700E08" w:rsidRPr="006E7003" w:rsidRDefault="00700E08" w:rsidP="00877474">
            <w:pPr>
              <w:spacing w:before="120" w:after="120"/>
            </w:pPr>
            <w:r w:rsidRPr="006E7003">
              <w:lastRenderedPageBreak/>
              <w:t>The rights to freedom of association and collective bargaining are not guaranteed in the national law so employees do not have access to independent trade unions nor collective bargaining.</w:t>
            </w:r>
          </w:p>
          <w:p w:rsidR="00700E08" w:rsidRPr="006E7003" w:rsidRDefault="00700E08" w:rsidP="00877474">
            <w:pPr>
              <w:spacing w:before="120" w:after="120" w:line="280" w:lineRule="atLeast"/>
            </w:pPr>
          </w:p>
        </w:tc>
        <w:tc>
          <w:tcPr>
            <w:tcW w:w="3839" w:type="pct"/>
            <w:shd w:val="clear" w:color="auto" w:fill="D6E3BC"/>
          </w:tcPr>
          <w:p w:rsidR="00700E08" w:rsidRPr="006E7003" w:rsidRDefault="00700E08" w:rsidP="00877474">
            <w:pPr>
              <w:spacing w:before="120" w:after="120" w:line="280" w:lineRule="atLeast"/>
            </w:pPr>
            <w:r w:rsidRPr="006E7003">
              <w:t xml:space="preserve">The right to freedom of association is one of the fundamental rights at work, recognised both in the International Bill of Human Rights as well as </w:t>
            </w:r>
            <w:r>
              <w:t xml:space="preserve">the </w:t>
            </w:r>
            <w:r w:rsidRPr="006E7003">
              <w:t xml:space="preserve">fundamental </w:t>
            </w:r>
            <w:r w:rsidR="00323AF2">
              <w:t>International Labour Organiz</w:t>
            </w:r>
            <w:r>
              <w:t>ation</w:t>
            </w:r>
            <w:r w:rsidRPr="006E7003">
              <w:t xml:space="preserve"> Conventions. It is considered to be important both as a right in and of itself, but also because the enjoyment of this right can have </w:t>
            </w:r>
            <w:r>
              <w:t>significant</w:t>
            </w:r>
            <w:r w:rsidRPr="006E7003">
              <w:t xml:space="preserve"> implications for promoting or inhibiting the enjoyment of other human rights, such as the right to an adequate standard of living.</w:t>
            </w:r>
          </w:p>
          <w:p w:rsidR="00700E08" w:rsidRPr="006E7003" w:rsidRDefault="00700E08" w:rsidP="00877474">
            <w:pPr>
              <w:spacing w:before="120" w:after="120" w:line="280" w:lineRule="atLeast"/>
            </w:pPr>
            <w:r w:rsidRPr="006E7003">
              <w:t xml:space="preserve">According to the UN Guiding Principles, the responsibility to respect human rights applies in all contexts, and exists over and above compliance with national laws and regulations. In situations where domestic and international law conflict, businesses are </w:t>
            </w:r>
            <w:r>
              <w:t xml:space="preserve">therefore </w:t>
            </w:r>
            <w:r w:rsidRPr="006E7003">
              <w:t>expected to seek ways to honour the principles of internationally recognised human rights.</w:t>
            </w:r>
            <w:r w:rsidRPr="006E7003">
              <w:rPr>
                <w:rStyle w:val="FootnoteReference"/>
              </w:rPr>
              <w:footnoteReference w:id="2"/>
            </w:r>
          </w:p>
          <w:p w:rsidR="00700E08" w:rsidRPr="006E7003" w:rsidRDefault="00700E08" w:rsidP="00877474">
            <w:pPr>
              <w:spacing w:before="120" w:after="120" w:line="280" w:lineRule="atLeast"/>
            </w:pPr>
            <w:r w:rsidRPr="006E7003">
              <w:t>There are two potential scenarios:</w:t>
            </w:r>
          </w:p>
          <w:p w:rsidR="00700E08" w:rsidRPr="006E7003" w:rsidRDefault="00700E08" w:rsidP="00700E08">
            <w:pPr>
              <w:pStyle w:val="ListParagraph"/>
              <w:numPr>
                <w:ilvl w:val="0"/>
                <w:numId w:val="23"/>
              </w:numPr>
              <w:spacing w:before="120" w:line="280" w:lineRule="atLeast"/>
              <w:ind w:left="357" w:hanging="357"/>
              <w:contextualSpacing/>
            </w:pPr>
            <w:r>
              <w:t>National</w:t>
            </w:r>
            <w:r w:rsidRPr="006E7003">
              <w:t xml:space="preserve"> law is silent on a particular human rights standard or principle: In such scenarios, the business is </w:t>
            </w:r>
            <w:r w:rsidRPr="006E7003">
              <w:lastRenderedPageBreak/>
              <w:t xml:space="preserve">not strictly prevented from upholding the international human rights standard and should endeavour to do so. </w:t>
            </w:r>
          </w:p>
          <w:p w:rsidR="00700E08" w:rsidRPr="006E7003" w:rsidRDefault="00700E08" w:rsidP="00700E08">
            <w:pPr>
              <w:pStyle w:val="ListParagraph"/>
              <w:numPr>
                <w:ilvl w:val="0"/>
                <w:numId w:val="23"/>
              </w:numPr>
              <w:spacing w:after="120" w:line="280" w:lineRule="atLeast"/>
            </w:pPr>
            <w:r>
              <w:t>National</w:t>
            </w:r>
            <w:r w:rsidRPr="006E7003">
              <w:t xml:space="preserve"> law is in contradiction </w:t>
            </w:r>
            <w:r>
              <w:t>of international human rights: I</w:t>
            </w:r>
            <w:r w:rsidRPr="006E7003">
              <w:t xml:space="preserve">n such cases, businesses are expected to uphold the spirit and intent of international human rights without violating national laws. </w:t>
            </w:r>
          </w:p>
          <w:p w:rsidR="00700E08" w:rsidRPr="006E7003" w:rsidRDefault="00700E08" w:rsidP="00877474">
            <w:pPr>
              <w:spacing w:before="120" w:after="120" w:line="280" w:lineRule="atLeast"/>
            </w:pPr>
            <w:r w:rsidRPr="006E7003">
              <w:t>In the present example, the business should take steps to find other means of enabling meaningful and constructive worker-management dialogue, without violating national law. For example, the business might create elected workers committees.</w:t>
            </w:r>
            <w:r w:rsidR="00BE726A">
              <w:t xml:space="preserve"> In such situations businesses also have an opportunity to work with peers and other stakeholders to work towards compatibility of national standards with international human rights law.</w:t>
            </w:r>
          </w:p>
        </w:tc>
      </w:tr>
    </w:tbl>
    <w:p w:rsidR="00700E08" w:rsidRDefault="00700E08" w:rsidP="00700E08">
      <w:pPr>
        <w:pStyle w:val="Heading2"/>
      </w:pPr>
      <w:bookmarkStart w:id="4" w:name="_Toc441240044"/>
      <w:bookmarkStart w:id="5" w:name="_Toc26958548"/>
      <w:r>
        <w:lastRenderedPageBreak/>
        <w:t>Examples of different types of human rights impacts</w:t>
      </w:r>
      <w:bookmarkEnd w:id="4"/>
      <w:bookmarkEnd w:id="5"/>
      <w:r>
        <w:t xml:space="preserve"> </w:t>
      </w:r>
    </w:p>
    <w:p w:rsidR="00700E08" w:rsidRPr="00947EA3" w:rsidRDefault="00700E08" w:rsidP="006A7C7A">
      <w:pPr>
        <w:autoSpaceDE w:val="0"/>
        <w:autoSpaceDN w:val="0"/>
        <w:adjustRightInd w:val="0"/>
        <w:spacing w:before="120" w:after="240"/>
        <w:rPr>
          <w:rFonts w:asciiTheme="minorHAnsi" w:hAnsiTheme="minorHAnsi" w:cs="MyriadPro-Light"/>
        </w:rPr>
      </w:pPr>
      <w:r w:rsidRPr="00635DEB">
        <w:rPr>
          <w:rFonts w:asciiTheme="minorHAnsi" w:hAnsiTheme="minorHAnsi" w:cs="MyriadPro-Semibold"/>
          <w:bCs/>
        </w:rPr>
        <w:t xml:space="preserve">According to the UN Guiding Principles, businesses are required to consider actual and potential human rights impacts, which are </w:t>
      </w:r>
      <w:r w:rsidRPr="00E23546">
        <w:rPr>
          <w:rFonts w:asciiTheme="minorHAnsi" w:hAnsiTheme="minorHAnsi" w:cs="MyriadPro-Semibold"/>
          <w:b/>
          <w:iCs/>
        </w:rPr>
        <w:t>caused</w:t>
      </w:r>
      <w:r w:rsidRPr="00635DEB">
        <w:rPr>
          <w:rFonts w:asciiTheme="minorHAnsi" w:hAnsiTheme="minorHAnsi" w:cs="MyriadPro-Semibold"/>
          <w:bCs/>
        </w:rPr>
        <w:t xml:space="preserve"> by the business, impacts that the business </w:t>
      </w:r>
      <w:r w:rsidRPr="00E23546">
        <w:rPr>
          <w:rFonts w:asciiTheme="minorHAnsi" w:hAnsiTheme="minorHAnsi" w:cs="MyriadPro-Semibold"/>
          <w:b/>
          <w:iCs/>
        </w:rPr>
        <w:t>contributes</w:t>
      </w:r>
      <w:r w:rsidRPr="00635DEB">
        <w:rPr>
          <w:rFonts w:asciiTheme="minorHAnsi" w:hAnsiTheme="minorHAnsi" w:cs="MyriadPro-Semibold"/>
          <w:bCs/>
          <w:i/>
        </w:rPr>
        <w:t xml:space="preserve"> </w:t>
      </w:r>
      <w:r w:rsidRPr="00635DEB">
        <w:rPr>
          <w:rFonts w:asciiTheme="minorHAnsi" w:hAnsiTheme="minorHAnsi" w:cs="MyriadPro-Semibold"/>
          <w:bCs/>
        </w:rPr>
        <w:t xml:space="preserve">to, and impacts that are </w:t>
      </w:r>
      <w:r w:rsidRPr="00E23546">
        <w:rPr>
          <w:rFonts w:asciiTheme="minorHAnsi" w:hAnsiTheme="minorHAnsi" w:cs="MyriadPro-Semibold"/>
          <w:b/>
          <w:iCs/>
        </w:rPr>
        <w:t>directly linked</w:t>
      </w:r>
      <w:r w:rsidRPr="00635DEB">
        <w:rPr>
          <w:rFonts w:asciiTheme="minorHAnsi" w:hAnsiTheme="minorHAnsi" w:cs="MyriadPro-Semibold"/>
          <w:bCs/>
        </w:rPr>
        <w:t xml:space="preserve"> to a company’s operations, products or services through business relationships (including both contractual and non-contractual relationships).</w:t>
      </w:r>
      <w:r w:rsidRPr="00635DEB">
        <w:rPr>
          <w:rStyle w:val="FootnoteReference"/>
          <w:rFonts w:asciiTheme="minorHAnsi" w:hAnsiTheme="minorHAnsi" w:cs="MyriadPro-Semibold"/>
          <w:bCs/>
        </w:rPr>
        <w:footnoteReference w:id="3"/>
      </w:r>
      <w:r w:rsidRPr="00635DEB">
        <w:rPr>
          <w:rFonts w:asciiTheme="minorHAnsi" w:hAnsiTheme="minorHAnsi" w:cs="MyriadPro-Semibold"/>
          <w:bCs/>
        </w:rPr>
        <w:t xml:space="preserve"> </w:t>
      </w:r>
    </w:p>
    <w:p w:rsidR="00700E08" w:rsidRPr="00635DEB" w:rsidRDefault="00700E08" w:rsidP="006A7C7A">
      <w:pPr>
        <w:autoSpaceDE w:val="0"/>
        <w:autoSpaceDN w:val="0"/>
        <w:adjustRightInd w:val="0"/>
        <w:spacing w:before="120" w:after="240"/>
        <w:rPr>
          <w:rFonts w:asciiTheme="minorHAnsi" w:hAnsiTheme="minorHAnsi" w:cs="MyriadPro-Semibold"/>
          <w:bCs/>
        </w:rPr>
      </w:pPr>
      <w:r w:rsidRPr="003B62C8">
        <w:rPr>
          <w:rFonts w:asciiTheme="minorHAnsi" w:hAnsiTheme="minorHAnsi" w:cs="MyriadPro-Semibold"/>
          <w:bCs/>
        </w:rPr>
        <w:t>Table B</w:t>
      </w:r>
      <w:r w:rsidRPr="00FB0503">
        <w:rPr>
          <w:rFonts w:asciiTheme="minorHAnsi" w:hAnsiTheme="minorHAnsi" w:cs="MyriadPro-Semibold"/>
          <w:bCs/>
        </w:rPr>
        <w:t>,</w:t>
      </w:r>
      <w:r w:rsidRPr="00635DEB">
        <w:rPr>
          <w:rFonts w:asciiTheme="minorHAnsi" w:hAnsiTheme="minorHAnsi" w:cs="MyriadPro-Semibold"/>
          <w:bCs/>
        </w:rPr>
        <w:t xml:space="preserve"> below, presents some examples of these different types of human rights impacts.</w:t>
      </w:r>
    </w:p>
    <w:tbl>
      <w:tblPr>
        <w:tblStyle w:val="TableGrid"/>
        <w:tblW w:w="5000" w:type="pct"/>
        <w:shd w:val="clear" w:color="auto" w:fill="D6E3BC"/>
        <w:tblLook w:val="04A0" w:firstRow="1" w:lastRow="0" w:firstColumn="1" w:lastColumn="0" w:noHBand="0" w:noVBand="1"/>
      </w:tblPr>
      <w:tblGrid>
        <w:gridCol w:w="1840"/>
        <w:gridCol w:w="6086"/>
      </w:tblGrid>
      <w:tr w:rsidR="00700E08" w:rsidRPr="006E7003" w:rsidTr="00700E08">
        <w:trPr>
          <w:tblHeader/>
        </w:trPr>
        <w:tc>
          <w:tcPr>
            <w:tcW w:w="5000" w:type="pct"/>
            <w:gridSpan w:val="2"/>
            <w:shd w:val="clear" w:color="auto" w:fill="D6E3BC"/>
          </w:tcPr>
          <w:p w:rsidR="00700E08" w:rsidRPr="006E7003" w:rsidRDefault="00700E08" w:rsidP="00877474">
            <w:pPr>
              <w:autoSpaceDE w:val="0"/>
              <w:autoSpaceDN w:val="0"/>
              <w:adjustRightInd w:val="0"/>
              <w:spacing w:before="120" w:after="120" w:line="280" w:lineRule="atLeast"/>
              <w:rPr>
                <w:rFonts w:asciiTheme="minorHAnsi" w:hAnsiTheme="minorHAnsi" w:cs="MyriadPro-Light"/>
                <w:b/>
              </w:rPr>
            </w:pPr>
            <w:r w:rsidRPr="003B62C8">
              <w:rPr>
                <w:rFonts w:asciiTheme="minorHAnsi" w:hAnsiTheme="minorHAnsi" w:cs="MyriadPro-Light"/>
                <w:b/>
              </w:rPr>
              <w:t>Table B</w:t>
            </w:r>
            <w:r w:rsidRPr="00FB0503">
              <w:rPr>
                <w:rFonts w:asciiTheme="minorHAnsi" w:hAnsiTheme="minorHAnsi" w:cs="MyriadPro-Light"/>
                <w:b/>
              </w:rPr>
              <w:t>:</w:t>
            </w:r>
            <w:r w:rsidRPr="006E7003">
              <w:rPr>
                <w:rFonts w:asciiTheme="minorHAnsi" w:hAnsiTheme="minorHAnsi" w:cs="MyriadPro-Light"/>
                <w:b/>
              </w:rPr>
              <w:t xml:space="preserve"> Examples of different types of human rights impacts</w:t>
            </w:r>
          </w:p>
        </w:tc>
      </w:tr>
      <w:tr w:rsidR="00700E08" w:rsidRPr="006E7003" w:rsidTr="00700E08">
        <w:trPr>
          <w:tblHeader/>
        </w:trPr>
        <w:tc>
          <w:tcPr>
            <w:tcW w:w="1161" w:type="pct"/>
            <w:shd w:val="clear" w:color="auto" w:fill="D6E3BC"/>
          </w:tcPr>
          <w:p w:rsidR="00700E08" w:rsidRPr="006E7003" w:rsidRDefault="00700E08" w:rsidP="00877474">
            <w:pPr>
              <w:autoSpaceDE w:val="0"/>
              <w:autoSpaceDN w:val="0"/>
              <w:adjustRightInd w:val="0"/>
              <w:spacing w:before="120" w:after="120" w:line="280" w:lineRule="atLeast"/>
              <w:rPr>
                <w:rFonts w:asciiTheme="minorHAnsi" w:hAnsiTheme="minorHAnsi" w:cs="MyriadPro-Light"/>
                <w:b/>
              </w:rPr>
            </w:pPr>
            <w:r w:rsidRPr="006E7003">
              <w:rPr>
                <w:rFonts w:asciiTheme="minorHAnsi" w:hAnsiTheme="minorHAnsi" w:cs="MyriadPro-Light"/>
                <w:b/>
              </w:rPr>
              <w:t>Type of impact</w:t>
            </w:r>
          </w:p>
        </w:tc>
        <w:tc>
          <w:tcPr>
            <w:tcW w:w="3839" w:type="pct"/>
            <w:shd w:val="clear" w:color="auto" w:fill="D6E3BC"/>
          </w:tcPr>
          <w:p w:rsidR="00700E08" w:rsidRPr="006E7003" w:rsidRDefault="00700E08" w:rsidP="00877474">
            <w:pPr>
              <w:autoSpaceDE w:val="0"/>
              <w:autoSpaceDN w:val="0"/>
              <w:adjustRightInd w:val="0"/>
              <w:spacing w:before="120" w:after="120" w:line="280" w:lineRule="atLeast"/>
              <w:rPr>
                <w:rFonts w:asciiTheme="minorHAnsi" w:hAnsiTheme="minorHAnsi" w:cs="MyriadPro-Light"/>
                <w:b/>
              </w:rPr>
            </w:pPr>
            <w:r w:rsidRPr="006E7003">
              <w:rPr>
                <w:rFonts w:asciiTheme="minorHAnsi" w:hAnsiTheme="minorHAnsi" w:cs="MyriadPro-Light"/>
                <w:b/>
              </w:rPr>
              <w:t>Examples</w:t>
            </w:r>
          </w:p>
        </w:tc>
      </w:tr>
      <w:tr w:rsidR="00700E08" w:rsidRPr="006E7003" w:rsidTr="00700E08">
        <w:tc>
          <w:tcPr>
            <w:tcW w:w="1161" w:type="pct"/>
            <w:shd w:val="clear" w:color="auto" w:fill="D6E3BC"/>
          </w:tcPr>
          <w:p w:rsidR="00700E08" w:rsidRPr="006E7003" w:rsidRDefault="00700E08" w:rsidP="00877474">
            <w:pPr>
              <w:autoSpaceDE w:val="0"/>
              <w:autoSpaceDN w:val="0"/>
              <w:adjustRightInd w:val="0"/>
              <w:spacing w:before="120" w:after="120" w:line="280" w:lineRule="atLeast"/>
              <w:rPr>
                <w:rFonts w:asciiTheme="minorHAnsi" w:hAnsiTheme="minorHAnsi" w:cs="MyriadPro-Light"/>
              </w:rPr>
            </w:pPr>
            <w:r>
              <w:rPr>
                <w:rFonts w:asciiTheme="minorHAnsi" w:hAnsiTheme="minorHAnsi" w:cs="MyriadPro-Light"/>
              </w:rPr>
              <w:t>Caused (by the business’</w:t>
            </w:r>
            <w:r w:rsidRPr="006E7003">
              <w:rPr>
                <w:rFonts w:asciiTheme="minorHAnsi" w:hAnsiTheme="minorHAnsi" w:cs="MyriadPro-Light"/>
              </w:rPr>
              <w:t>s action or omission)</w:t>
            </w:r>
          </w:p>
        </w:tc>
        <w:tc>
          <w:tcPr>
            <w:tcW w:w="3839" w:type="pct"/>
            <w:shd w:val="clear" w:color="auto" w:fill="D6E3BC"/>
          </w:tcPr>
          <w:p w:rsidR="00700E08" w:rsidRPr="006E7003" w:rsidRDefault="00700E08" w:rsidP="00700E08">
            <w:pPr>
              <w:pStyle w:val="ListBullet"/>
              <w:numPr>
                <w:ilvl w:val="0"/>
                <w:numId w:val="27"/>
              </w:numPr>
              <w:spacing w:before="120" w:after="120" w:line="280" w:lineRule="atLeast"/>
              <w:rPr>
                <w:rFonts w:asciiTheme="minorHAnsi" w:hAnsiTheme="minorHAnsi"/>
              </w:rPr>
            </w:pPr>
            <w:r w:rsidRPr="006E7003">
              <w:rPr>
                <w:rFonts w:asciiTheme="minorHAnsi" w:hAnsiTheme="minorHAnsi"/>
              </w:rPr>
              <w:t>A company discriminates in its hiring practices, for example</w:t>
            </w:r>
            <w:r w:rsidR="006A7C7A">
              <w:rPr>
                <w:rFonts w:asciiTheme="minorHAnsi" w:hAnsiTheme="minorHAnsi"/>
              </w:rPr>
              <w:t>,</w:t>
            </w:r>
            <w:r w:rsidRPr="006E7003">
              <w:rPr>
                <w:rFonts w:asciiTheme="minorHAnsi" w:hAnsiTheme="minorHAnsi"/>
              </w:rPr>
              <w:t xml:space="preserve"> by not affording equal opportunity to indigenous applicants</w:t>
            </w:r>
            <w:r>
              <w:rPr>
                <w:rFonts w:asciiTheme="minorHAnsi" w:hAnsiTheme="minorHAnsi"/>
              </w:rPr>
              <w:t>.</w:t>
            </w:r>
          </w:p>
          <w:p w:rsidR="00700E08" w:rsidRPr="006E7003" w:rsidRDefault="00700E08" w:rsidP="00700E08">
            <w:pPr>
              <w:pStyle w:val="ListBullet"/>
              <w:numPr>
                <w:ilvl w:val="0"/>
                <w:numId w:val="27"/>
              </w:numPr>
              <w:spacing w:before="120" w:after="120" w:line="280" w:lineRule="atLeast"/>
              <w:rPr>
                <w:rFonts w:asciiTheme="minorHAnsi" w:hAnsiTheme="minorHAnsi"/>
              </w:rPr>
            </w:pPr>
            <w:r w:rsidRPr="006E7003">
              <w:rPr>
                <w:rFonts w:asciiTheme="minorHAnsi" w:hAnsiTheme="minorHAnsi"/>
              </w:rPr>
              <w:lastRenderedPageBreak/>
              <w:t>Exposure of company’s workers to hazardous working conditions without adequate safety equipment</w:t>
            </w:r>
            <w:r>
              <w:rPr>
                <w:rFonts w:asciiTheme="minorHAnsi" w:hAnsiTheme="minorHAnsi"/>
              </w:rPr>
              <w:t>.</w:t>
            </w:r>
          </w:p>
        </w:tc>
      </w:tr>
      <w:tr w:rsidR="00700E08" w:rsidRPr="006E7003" w:rsidTr="00700E08">
        <w:tc>
          <w:tcPr>
            <w:tcW w:w="1161" w:type="pct"/>
            <w:shd w:val="clear" w:color="auto" w:fill="D6E3BC"/>
          </w:tcPr>
          <w:p w:rsidR="00700E08" w:rsidRPr="006E7003" w:rsidRDefault="00700E08" w:rsidP="00877474">
            <w:pPr>
              <w:autoSpaceDE w:val="0"/>
              <w:autoSpaceDN w:val="0"/>
              <w:adjustRightInd w:val="0"/>
              <w:spacing w:before="120" w:after="120" w:line="280" w:lineRule="atLeast"/>
              <w:rPr>
                <w:rFonts w:asciiTheme="minorHAnsi" w:hAnsiTheme="minorHAnsi" w:cs="MyriadPro-Light"/>
              </w:rPr>
            </w:pPr>
            <w:r w:rsidRPr="006E7003">
              <w:rPr>
                <w:rFonts w:asciiTheme="minorHAnsi" w:hAnsiTheme="minorHAnsi" w:cs="MyriadPro-Light"/>
              </w:rPr>
              <w:lastRenderedPageBreak/>
              <w:t>Contributed to (through own activities or through a third party, including cumulative impacts)</w:t>
            </w:r>
          </w:p>
        </w:tc>
        <w:tc>
          <w:tcPr>
            <w:tcW w:w="3839" w:type="pct"/>
            <w:shd w:val="clear" w:color="auto" w:fill="D6E3BC"/>
          </w:tcPr>
          <w:p w:rsidR="00700E08" w:rsidRPr="006E7003" w:rsidRDefault="00700E08" w:rsidP="00877474">
            <w:pPr>
              <w:pStyle w:val="ListBullet"/>
              <w:numPr>
                <w:ilvl w:val="0"/>
                <w:numId w:val="0"/>
              </w:numPr>
              <w:spacing w:before="120" w:after="120" w:line="280" w:lineRule="atLeast"/>
              <w:ind w:left="51"/>
              <w:rPr>
                <w:rFonts w:asciiTheme="minorHAnsi" w:hAnsiTheme="minorHAnsi"/>
              </w:rPr>
            </w:pPr>
            <w:r w:rsidRPr="006E7003">
              <w:rPr>
                <w:rFonts w:asciiTheme="minorHAnsi" w:hAnsiTheme="minorHAnsi"/>
              </w:rPr>
              <w:t>Examples of contribution through a third party (encouraging, facilitating or incentivising):</w:t>
            </w:r>
          </w:p>
          <w:p w:rsidR="00700E08" w:rsidRPr="006E7003" w:rsidRDefault="00700E08" w:rsidP="00700E08">
            <w:pPr>
              <w:pStyle w:val="ListParagraph"/>
              <w:numPr>
                <w:ilvl w:val="0"/>
                <w:numId w:val="24"/>
              </w:numPr>
              <w:spacing w:before="120" w:after="120" w:line="280" w:lineRule="atLeast"/>
              <w:ind w:left="357" w:hanging="357"/>
              <w:contextualSpacing/>
            </w:pPr>
            <w:r w:rsidRPr="006E7003">
              <w:t>Providing information about internet users to a government that uses it for surveillance of political opponents</w:t>
            </w:r>
            <w:r>
              <w:t>.</w:t>
            </w:r>
          </w:p>
          <w:p w:rsidR="00700E08" w:rsidRPr="006E7003" w:rsidRDefault="00700E08" w:rsidP="00700E08">
            <w:pPr>
              <w:pStyle w:val="ListParagraph"/>
              <w:numPr>
                <w:ilvl w:val="0"/>
                <w:numId w:val="24"/>
              </w:numPr>
              <w:spacing w:before="120" w:after="120" w:line="280" w:lineRule="atLeast"/>
              <w:ind w:left="357" w:hanging="357"/>
              <w:contextualSpacing/>
            </w:pPr>
            <w:r w:rsidRPr="006E7003">
              <w:rPr>
                <w:rFonts w:asciiTheme="minorHAnsi" w:hAnsiTheme="minorHAnsi"/>
              </w:rPr>
              <w:t xml:space="preserve">Changing product requirements for suppliers at the </w:t>
            </w:r>
            <w:r>
              <w:rPr>
                <w:rFonts w:asciiTheme="minorHAnsi" w:hAnsiTheme="minorHAnsi"/>
              </w:rPr>
              <w:t>last minute</w:t>
            </w:r>
            <w:r w:rsidRPr="006E7003">
              <w:rPr>
                <w:rFonts w:asciiTheme="minorHAnsi" w:hAnsiTheme="minorHAnsi"/>
              </w:rPr>
              <w:t xml:space="preserve"> without adjusting production deadlines and prices, thus pushing suppliers to breach labour standards in order to deliver</w:t>
            </w:r>
            <w:r>
              <w:rPr>
                <w:rFonts w:asciiTheme="minorHAnsi" w:hAnsiTheme="minorHAnsi"/>
              </w:rPr>
              <w:t>.</w:t>
            </w:r>
          </w:p>
          <w:p w:rsidR="00700E08" w:rsidRPr="006E7003" w:rsidRDefault="00700E08" w:rsidP="00700E08">
            <w:pPr>
              <w:pStyle w:val="ListParagraph"/>
              <w:numPr>
                <w:ilvl w:val="0"/>
                <w:numId w:val="24"/>
              </w:numPr>
              <w:spacing w:before="120" w:after="120" w:line="280" w:lineRule="atLeast"/>
              <w:ind w:left="357" w:hanging="357"/>
              <w:contextualSpacing/>
            </w:pPr>
            <w:r w:rsidRPr="006E7003">
              <w:rPr>
                <w:rFonts w:asciiTheme="minorHAnsi" w:hAnsiTheme="minorHAnsi"/>
              </w:rPr>
              <w:t>Public security forces stationed to protect assets use excessive force against protesters</w:t>
            </w:r>
            <w:r>
              <w:rPr>
                <w:rFonts w:asciiTheme="minorHAnsi" w:hAnsiTheme="minorHAnsi"/>
              </w:rPr>
              <w:t>.</w:t>
            </w:r>
          </w:p>
          <w:p w:rsidR="00700E08" w:rsidRPr="006E7003" w:rsidRDefault="00700E08" w:rsidP="00877474">
            <w:pPr>
              <w:spacing w:before="120" w:after="120" w:line="280" w:lineRule="atLeast"/>
              <w:contextualSpacing/>
              <w:rPr>
                <w:rFonts w:asciiTheme="minorHAnsi" w:hAnsiTheme="minorHAnsi"/>
              </w:rPr>
            </w:pPr>
            <w:r w:rsidRPr="006E7003">
              <w:rPr>
                <w:rFonts w:asciiTheme="minorHAnsi" w:hAnsiTheme="minorHAnsi"/>
              </w:rPr>
              <w:t>Examples of contribution together with other contributors (collective impacts):</w:t>
            </w:r>
          </w:p>
          <w:p w:rsidR="00700E08" w:rsidRPr="006E7003" w:rsidRDefault="00700E08" w:rsidP="00700E08">
            <w:pPr>
              <w:pStyle w:val="ListParagraph"/>
              <w:numPr>
                <w:ilvl w:val="0"/>
                <w:numId w:val="25"/>
              </w:numPr>
              <w:spacing w:before="120" w:after="120" w:line="280" w:lineRule="atLeast"/>
              <w:ind w:left="357" w:hanging="357"/>
              <w:contextualSpacing/>
            </w:pPr>
            <w:r w:rsidRPr="006E7003">
              <w:t>Discharging a permissible amount of pollution into the local environment which, together with permissible discharges by other companies, impacts community use of ecosystem services (e.g. water)</w:t>
            </w:r>
            <w:r>
              <w:t>.</w:t>
            </w:r>
          </w:p>
          <w:p w:rsidR="00700E08" w:rsidRPr="006E7003" w:rsidRDefault="00700E08" w:rsidP="00700E08">
            <w:pPr>
              <w:pStyle w:val="ListParagraph"/>
              <w:numPr>
                <w:ilvl w:val="0"/>
                <w:numId w:val="25"/>
              </w:numPr>
              <w:spacing w:before="120" w:after="120" w:line="280" w:lineRule="atLeast"/>
              <w:ind w:left="357" w:hanging="357"/>
              <w:contextualSpacing/>
            </w:pPr>
            <w:r w:rsidRPr="006E7003">
              <w:rPr>
                <w:rFonts w:asciiTheme="minorHAnsi" w:hAnsiTheme="minorHAnsi"/>
              </w:rPr>
              <w:t>Concurrent operations by multiple companies in concentrated location, thereby restricting access to grazing lands of nomadic herders</w:t>
            </w:r>
            <w:r>
              <w:rPr>
                <w:rFonts w:asciiTheme="minorHAnsi" w:hAnsiTheme="minorHAnsi"/>
              </w:rPr>
              <w:t>.</w:t>
            </w:r>
          </w:p>
        </w:tc>
      </w:tr>
      <w:tr w:rsidR="00700E08" w:rsidRPr="006E7003" w:rsidTr="00700E08">
        <w:tc>
          <w:tcPr>
            <w:tcW w:w="1161" w:type="pct"/>
            <w:shd w:val="clear" w:color="auto" w:fill="D6E3BC"/>
          </w:tcPr>
          <w:p w:rsidR="00700E08" w:rsidRPr="006E7003" w:rsidRDefault="00700E08" w:rsidP="00877474">
            <w:pPr>
              <w:autoSpaceDE w:val="0"/>
              <w:autoSpaceDN w:val="0"/>
              <w:adjustRightInd w:val="0"/>
              <w:spacing w:before="120" w:after="120" w:line="280" w:lineRule="atLeast"/>
              <w:rPr>
                <w:rFonts w:asciiTheme="minorHAnsi" w:hAnsiTheme="minorHAnsi" w:cs="MyriadPro-Light"/>
              </w:rPr>
            </w:pPr>
            <w:r w:rsidRPr="00EC3018">
              <w:rPr>
                <w:rFonts w:eastAsia="Calibri" w:cs="MyriadPro-Light"/>
              </w:rPr>
              <w:t>Directly linked</w:t>
            </w:r>
            <w:r w:rsidR="00AB6F24">
              <w:rPr>
                <w:rFonts w:eastAsia="Calibri" w:cs="MyriadPro-Light"/>
                <w:sz w:val="20"/>
                <w:szCs w:val="20"/>
              </w:rPr>
              <w:t xml:space="preserve"> </w:t>
            </w:r>
            <w:r w:rsidRPr="006E7003">
              <w:rPr>
                <w:rFonts w:asciiTheme="minorHAnsi" w:hAnsiTheme="minorHAnsi" w:cs="MyriadPro-Light"/>
              </w:rPr>
              <w:t>(to operations, products or services through business relationships, including both contractual and non-contractual relationships)</w:t>
            </w:r>
          </w:p>
        </w:tc>
        <w:tc>
          <w:tcPr>
            <w:tcW w:w="3839" w:type="pct"/>
            <w:shd w:val="clear" w:color="auto" w:fill="D6E3BC"/>
          </w:tcPr>
          <w:p w:rsidR="00700E08" w:rsidRPr="006E7003" w:rsidRDefault="00700E08" w:rsidP="00700E08">
            <w:pPr>
              <w:pStyle w:val="ListParagraph"/>
              <w:numPr>
                <w:ilvl w:val="0"/>
                <w:numId w:val="26"/>
              </w:numPr>
              <w:spacing w:before="120" w:after="120" w:line="280" w:lineRule="atLeast"/>
              <w:ind w:left="357" w:hanging="357"/>
              <w:contextualSpacing/>
            </w:pPr>
            <w:r w:rsidRPr="006E7003">
              <w:t xml:space="preserve">Providing financial loans to a project that breaches agreed standards and causes environmental pollution, thereby impacting on </w:t>
            </w:r>
            <w:r>
              <w:t>the health of local communities.</w:t>
            </w:r>
          </w:p>
          <w:p w:rsidR="00700E08" w:rsidRPr="006E7003" w:rsidRDefault="00700E08" w:rsidP="00700E08">
            <w:pPr>
              <w:pStyle w:val="ListParagraph"/>
              <w:numPr>
                <w:ilvl w:val="0"/>
                <w:numId w:val="26"/>
              </w:numPr>
              <w:spacing w:before="120" w:after="120" w:line="280" w:lineRule="atLeast"/>
              <w:ind w:left="357" w:hanging="357"/>
              <w:contextualSpacing/>
            </w:pPr>
            <w:r w:rsidRPr="006E7003">
              <w:t>Embroidery on a retail company’s clothing products being subcontracted by the supplier to child labourers in homes, contrary to contractual obligations</w:t>
            </w:r>
            <w:r>
              <w:t>.</w:t>
            </w:r>
          </w:p>
        </w:tc>
      </w:tr>
      <w:tr w:rsidR="00700E08" w:rsidRPr="006E7003" w:rsidTr="00700E08">
        <w:tc>
          <w:tcPr>
            <w:tcW w:w="5000" w:type="pct"/>
            <w:gridSpan w:val="2"/>
            <w:shd w:val="clear" w:color="auto" w:fill="D6E3BC"/>
          </w:tcPr>
          <w:p w:rsidR="00700E08" w:rsidRPr="003B62C8" w:rsidRDefault="00700E08" w:rsidP="00877474">
            <w:pPr>
              <w:autoSpaceDE w:val="0"/>
              <w:autoSpaceDN w:val="0"/>
              <w:adjustRightInd w:val="0"/>
              <w:spacing w:before="120" w:after="120"/>
              <w:rPr>
                <w:rFonts w:asciiTheme="minorHAnsi" w:hAnsiTheme="minorHAnsi" w:cs="MyriadPro-Light"/>
                <w:sz w:val="20"/>
                <w:szCs w:val="20"/>
              </w:rPr>
            </w:pPr>
            <w:r w:rsidRPr="003B62C8">
              <w:rPr>
                <w:rFonts w:asciiTheme="minorHAnsi" w:hAnsiTheme="minorHAnsi" w:cs="MyriadPro-Light"/>
                <w:sz w:val="20"/>
                <w:szCs w:val="20"/>
              </w:rPr>
              <w:t>Source: Some of these examples are drawn from</w:t>
            </w:r>
            <w:r>
              <w:rPr>
                <w:rFonts w:asciiTheme="minorHAnsi" w:hAnsiTheme="minorHAnsi" w:cs="MyriadPro-Light"/>
                <w:sz w:val="20"/>
                <w:szCs w:val="20"/>
              </w:rPr>
              <w:t>:</w:t>
            </w:r>
            <w:r w:rsidRPr="003B62C8">
              <w:rPr>
                <w:rFonts w:asciiTheme="minorHAnsi" w:hAnsiTheme="minorHAnsi" w:cs="MyriadPro-Light"/>
                <w:sz w:val="20"/>
                <w:szCs w:val="20"/>
              </w:rPr>
              <w:t xml:space="preserve"> </w:t>
            </w:r>
            <w:r w:rsidRPr="003B62C8">
              <w:rPr>
                <w:sz w:val="20"/>
                <w:szCs w:val="20"/>
              </w:rPr>
              <w:t xml:space="preserve">Office of the </w:t>
            </w:r>
            <w:r w:rsidR="004A4469">
              <w:rPr>
                <w:sz w:val="20"/>
                <w:szCs w:val="20"/>
              </w:rPr>
              <w:t xml:space="preserve">United Nations </w:t>
            </w:r>
            <w:r w:rsidRPr="003B62C8">
              <w:rPr>
                <w:sz w:val="20"/>
                <w:szCs w:val="20"/>
              </w:rPr>
              <w:t xml:space="preserve">High Commissioner for Human Rights (2012), </w:t>
            </w:r>
            <w:r w:rsidRPr="003B62C8">
              <w:rPr>
                <w:i/>
                <w:sz w:val="20"/>
                <w:szCs w:val="20"/>
              </w:rPr>
              <w:t>The Corporate Responsibility to Respect Huma</w:t>
            </w:r>
            <w:r>
              <w:rPr>
                <w:i/>
                <w:sz w:val="20"/>
                <w:szCs w:val="20"/>
              </w:rPr>
              <w:t>n Rights: An Interpretive Guide,</w:t>
            </w:r>
            <w:r w:rsidRPr="003B62C8">
              <w:rPr>
                <w:i/>
                <w:sz w:val="20"/>
                <w:szCs w:val="20"/>
              </w:rPr>
              <w:t xml:space="preserve"> </w:t>
            </w:r>
            <w:r w:rsidRPr="003B62C8">
              <w:rPr>
                <w:sz w:val="20"/>
                <w:szCs w:val="20"/>
              </w:rPr>
              <w:t xml:space="preserve">Geneva and New York: </w:t>
            </w:r>
            <w:r w:rsidR="004A4469">
              <w:rPr>
                <w:sz w:val="20"/>
                <w:szCs w:val="20"/>
              </w:rPr>
              <w:t>OHCHR</w:t>
            </w:r>
            <w:r w:rsidRPr="003B62C8">
              <w:rPr>
                <w:sz w:val="20"/>
                <w:szCs w:val="20"/>
              </w:rPr>
              <w:t xml:space="preserve">, A/HRC/12/02. </w:t>
            </w:r>
          </w:p>
        </w:tc>
      </w:tr>
    </w:tbl>
    <w:p w:rsidR="00700E08" w:rsidRPr="00063A68" w:rsidRDefault="00700E08" w:rsidP="00700E08">
      <w:pPr>
        <w:pStyle w:val="Heading2"/>
      </w:pPr>
      <w:bookmarkStart w:id="6" w:name="_Toc441240045"/>
      <w:bookmarkStart w:id="7" w:name="_Toc26958549"/>
      <w:r>
        <w:lastRenderedPageBreak/>
        <w:t>Framework for assessing impact severity</w:t>
      </w:r>
      <w:bookmarkEnd w:id="6"/>
      <w:bookmarkEnd w:id="7"/>
      <w:r>
        <w:t xml:space="preserve"> </w:t>
      </w:r>
    </w:p>
    <w:p w:rsidR="00700E08" w:rsidRPr="00635DEB" w:rsidRDefault="00700E08" w:rsidP="00367654">
      <w:pPr>
        <w:spacing w:before="120" w:after="240"/>
        <w:rPr>
          <w:u w:val="single"/>
        </w:rPr>
      </w:pPr>
      <w:r>
        <w:t>In order to prioritise sequencing of mitigation measures h</w:t>
      </w:r>
      <w:r w:rsidRPr="00635DEB">
        <w:t xml:space="preserve">uman rights impacts should be assessed according to their ‘severity’ which is determined by considering the scale, scope and irremediability of the impact. You can read more about these different parameters, as well as how the concept of severity differs from significance, in </w:t>
      </w:r>
      <w:hyperlink r:id="rId16" w:history="1">
        <w:r>
          <w:rPr>
            <w:rStyle w:val="Hyperlink"/>
          </w:rPr>
          <w:t xml:space="preserve">Phase 3: Analysing Impacts. </w:t>
        </w:r>
      </w:hyperlink>
      <w:r>
        <w:rPr>
          <w:u w:val="single"/>
        </w:rPr>
        <w:t xml:space="preserve"> </w:t>
      </w:r>
    </w:p>
    <w:p w:rsidR="00700E08" w:rsidRPr="00635DEB" w:rsidRDefault="00700E08" w:rsidP="00367654">
      <w:pPr>
        <w:spacing w:after="240"/>
      </w:pPr>
      <w:r w:rsidRPr="00042533">
        <w:t>Table C</w:t>
      </w:r>
      <w:r w:rsidRPr="00635DEB">
        <w:t xml:space="preserve"> below, provides one suggestion for how the above parameters to assess severity might be applied in HRIA practice. </w:t>
      </w:r>
      <w:r>
        <w:t xml:space="preserve">However, adding human rights impacts to ranking models is not necessarily conducive to the purpose of </w:t>
      </w:r>
      <w:r w:rsidR="0054372D">
        <w:t>analysing human rights impacts</w:t>
      </w:r>
      <w:r>
        <w:t xml:space="preserve"> and as such human rights expertise should guide any development of models for assessing severity. </w:t>
      </w:r>
      <w:r w:rsidRPr="00635DEB">
        <w:t xml:space="preserve">Additionally, Table </w:t>
      </w:r>
      <w:r>
        <w:t>D</w:t>
      </w:r>
      <w:r w:rsidRPr="00635DEB">
        <w:t xml:space="preserve"> provides </w:t>
      </w:r>
      <w:r>
        <w:t>some examples of how the parameters might be considered in impact analysis</w:t>
      </w:r>
      <w:r w:rsidRPr="00635DEB">
        <w:t xml:space="preserve">. </w:t>
      </w:r>
    </w:p>
    <w:p w:rsidR="00700E08" w:rsidRDefault="00700E08" w:rsidP="00367654">
      <w:pPr>
        <w:spacing w:after="240"/>
      </w:pPr>
      <w:r w:rsidRPr="00635DEB">
        <w:t xml:space="preserve">While </w:t>
      </w:r>
      <w:r>
        <w:t xml:space="preserve">some type of </w:t>
      </w:r>
      <w:r w:rsidRPr="00635DEB">
        <w:t xml:space="preserve">numerical ranking might prove useful in the analysis of human rights impacts to distinguish between different impacts, it is important to remember that human rights analysis cannot rely on these types of ‘scoring’ alone, and a thorough narrative description (based on qualitative data and/or indicators) of impacts and proposed </w:t>
      </w:r>
      <w:r>
        <w:t>mitigation measures</w:t>
      </w:r>
      <w:r w:rsidRPr="00635DEB">
        <w:t xml:space="preserve"> (i.e.</w:t>
      </w:r>
      <w:r w:rsidR="0054372D">
        <w:t>,</w:t>
      </w:r>
      <w:r w:rsidRPr="00635DEB">
        <w:t xml:space="preserve"> </w:t>
      </w:r>
      <w:r>
        <w:t xml:space="preserve">to </w:t>
      </w:r>
      <w:r w:rsidRPr="00635DEB">
        <w:t xml:space="preserve">avoid, mitigate and </w:t>
      </w:r>
      <w:r>
        <w:t>remediate the impacts</w:t>
      </w:r>
      <w:r w:rsidRPr="00635DEB">
        <w:t xml:space="preserve">) should always be provided. </w:t>
      </w:r>
    </w:p>
    <w:tbl>
      <w:tblPr>
        <w:tblStyle w:val="TableGrid"/>
        <w:tblW w:w="5000" w:type="pct"/>
        <w:shd w:val="clear" w:color="auto" w:fill="DCECBE"/>
        <w:tblLook w:val="04A0" w:firstRow="1" w:lastRow="0" w:firstColumn="1" w:lastColumn="0" w:noHBand="0" w:noVBand="1"/>
      </w:tblPr>
      <w:tblGrid>
        <w:gridCol w:w="6374"/>
        <w:gridCol w:w="425"/>
        <w:gridCol w:w="1127"/>
      </w:tblGrid>
      <w:tr w:rsidR="00367654" w:rsidTr="004202BC">
        <w:trPr>
          <w:tblHeader/>
        </w:trPr>
        <w:tc>
          <w:tcPr>
            <w:tcW w:w="5000" w:type="pct"/>
            <w:gridSpan w:val="3"/>
            <w:shd w:val="clear" w:color="auto" w:fill="DCECBE"/>
          </w:tcPr>
          <w:p w:rsidR="00367654" w:rsidRPr="007704ED" w:rsidRDefault="00367654" w:rsidP="00367654">
            <w:pPr>
              <w:spacing w:before="120" w:after="120"/>
              <w:rPr>
                <w:b/>
                <w:bCs/>
              </w:rPr>
            </w:pPr>
            <w:r w:rsidRPr="007704ED">
              <w:rPr>
                <w:b/>
                <w:bCs/>
              </w:rPr>
              <w:t>Table C: Parameters for evaluating impact severity</w:t>
            </w:r>
          </w:p>
        </w:tc>
      </w:tr>
      <w:tr w:rsidR="004202BC" w:rsidTr="004202BC">
        <w:tc>
          <w:tcPr>
            <w:tcW w:w="5000" w:type="pct"/>
            <w:gridSpan w:val="3"/>
            <w:shd w:val="clear" w:color="auto" w:fill="DCECBE"/>
          </w:tcPr>
          <w:p w:rsidR="004202BC" w:rsidRDefault="004202BC" w:rsidP="00367654">
            <w:pPr>
              <w:spacing w:before="120" w:after="120"/>
              <w:rPr>
                <w:b/>
                <w:bCs/>
              </w:rPr>
            </w:pPr>
            <w:r w:rsidRPr="004202BC">
              <w:rPr>
                <w:b/>
                <w:bCs/>
              </w:rPr>
              <w:t>Scale (including consideration of vulnerability)</w:t>
            </w:r>
          </w:p>
          <w:p w:rsidR="004202BC" w:rsidRPr="004202BC" w:rsidRDefault="004202BC" w:rsidP="00367654">
            <w:pPr>
              <w:spacing w:before="120" w:after="120"/>
              <w:rPr>
                <w:b/>
                <w:bCs/>
              </w:rPr>
            </w:pPr>
            <w:r>
              <w:t>Vulnerability needs to be an integral part of considering the scale, or seriousness, of the impact. This is because a person’s particular circumstances, including their ability to respond to change, may have an influence on how ‘serious’ an impact may be for that individual. As well as considering vulnerability as part of scale, assessors may wish to list vulnerability as a separate parameter, to demonstrate clearly how vulnerability has been considered in the analysis.</w:t>
            </w:r>
          </w:p>
        </w:tc>
      </w:tr>
      <w:tr w:rsidR="004202BC" w:rsidTr="004202BC">
        <w:tc>
          <w:tcPr>
            <w:tcW w:w="4021" w:type="pct"/>
            <w:shd w:val="clear" w:color="auto" w:fill="DCECBE"/>
          </w:tcPr>
          <w:p w:rsidR="00367654" w:rsidRDefault="00367654" w:rsidP="00877474">
            <w:pPr>
              <w:spacing w:before="120" w:after="240"/>
            </w:pPr>
            <w:r>
              <w:t xml:space="preserve">Will cause death or adverse health effects that could lead to significant reduction in quality of life and/or longevity </w:t>
            </w:r>
          </w:p>
        </w:tc>
        <w:tc>
          <w:tcPr>
            <w:tcW w:w="268" w:type="pct"/>
            <w:shd w:val="clear" w:color="auto" w:fill="DCECBE"/>
          </w:tcPr>
          <w:p w:rsidR="00367654" w:rsidRDefault="00367654" w:rsidP="00877474">
            <w:pPr>
              <w:spacing w:before="120" w:after="240"/>
            </w:pPr>
            <w:r>
              <w:t>A</w:t>
            </w:r>
          </w:p>
        </w:tc>
        <w:tc>
          <w:tcPr>
            <w:tcW w:w="711" w:type="pct"/>
            <w:vMerge w:val="restart"/>
            <w:shd w:val="clear" w:color="auto" w:fill="DCECBE"/>
          </w:tcPr>
          <w:p w:rsidR="00367654" w:rsidRDefault="00367654" w:rsidP="00877474">
            <w:pPr>
              <w:spacing w:before="120" w:after="240"/>
            </w:pPr>
          </w:p>
        </w:tc>
      </w:tr>
      <w:tr w:rsidR="004202BC" w:rsidTr="004202BC">
        <w:tc>
          <w:tcPr>
            <w:tcW w:w="4021" w:type="pct"/>
            <w:shd w:val="clear" w:color="auto" w:fill="DCECBE"/>
          </w:tcPr>
          <w:p w:rsidR="00367654" w:rsidRPr="00AB7318" w:rsidRDefault="00367654" w:rsidP="00367654">
            <w:pPr>
              <w:spacing w:before="120" w:after="120" w:line="259" w:lineRule="auto"/>
            </w:pPr>
            <w:r>
              <w:t>A</w:t>
            </w:r>
            <w:r w:rsidRPr="00AB7318">
              <w:t xml:space="preserve"> tangible human right infringement of access to basic life necessities (including education, livelihood, etc.) </w:t>
            </w:r>
          </w:p>
          <w:p w:rsidR="00367654" w:rsidRDefault="00367654" w:rsidP="00367654">
            <w:pPr>
              <w:spacing w:before="120" w:after="120" w:line="259" w:lineRule="auto"/>
            </w:pPr>
            <w:r w:rsidRPr="00AB7318">
              <w:rPr>
                <w:lang w:val="en-AU"/>
              </w:rPr>
              <w:t xml:space="preserve">Impact to cultural, economic, natural and social infrastructure/assets that </w:t>
            </w:r>
            <w:r>
              <w:rPr>
                <w:lang w:val="en-AU"/>
              </w:rPr>
              <w:t xml:space="preserve">have </w:t>
            </w:r>
            <w:r w:rsidRPr="00AB7318">
              <w:rPr>
                <w:lang w:val="en-AU"/>
              </w:rPr>
              <w:t xml:space="preserve">been </w:t>
            </w:r>
            <w:r w:rsidRPr="00AB7318">
              <w:rPr>
                <w:lang w:val="en-US"/>
              </w:rPr>
              <w:t xml:space="preserve">identified as </w:t>
            </w:r>
            <w:r w:rsidRPr="00AB7318">
              <w:rPr>
                <w:lang w:val="en-AU"/>
              </w:rPr>
              <w:t xml:space="preserve">highly valued </w:t>
            </w:r>
            <w:r w:rsidRPr="00AB7318">
              <w:rPr>
                <w:lang w:val="en-US"/>
              </w:rPr>
              <w:lastRenderedPageBreak/>
              <w:t xml:space="preserve">by </w:t>
            </w:r>
            <w:r w:rsidRPr="00AB7318">
              <w:t xml:space="preserve">identified groups </w:t>
            </w:r>
            <w:r w:rsidRPr="00AB7318">
              <w:rPr>
                <w:lang w:val="en-US"/>
              </w:rPr>
              <w:t>or subject matter experts in the impact assessment</w:t>
            </w:r>
            <w:r>
              <w:rPr>
                <w:lang w:val="en-US"/>
              </w:rPr>
              <w:t xml:space="preserve"> process</w:t>
            </w:r>
          </w:p>
          <w:p w:rsidR="00367654" w:rsidRDefault="00367654" w:rsidP="00367654">
            <w:pPr>
              <w:spacing w:before="120" w:after="120" w:line="259" w:lineRule="auto"/>
            </w:pPr>
            <w:r w:rsidRPr="00AB7318">
              <w:t xml:space="preserve">Impact to </w:t>
            </w:r>
            <w:r w:rsidRPr="00AB7318">
              <w:rPr>
                <w:lang w:val="en-AU"/>
              </w:rPr>
              <w:t>ecosystem services identified as priority to livelihoods, health, safety or culture in the impact assessment process</w:t>
            </w:r>
          </w:p>
        </w:tc>
        <w:tc>
          <w:tcPr>
            <w:tcW w:w="268" w:type="pct"/>
            <w:shd w:val="clear" w:color="auto" w:fill="DCECBE"/>
          </w:tcPr>
          <w:p w:rsidR="00367654" w:rsidRDefault="00367654" w:rsidP="00877474">
            <w:pPr>
              <w:spacing w:before="120" w:after="240"/>
            </w:pPr>
            <w:r>
              <w:lastRenderedPageBreak/>
              <w:t>B</w:t>
            </w:r>
          </w:p>
        </w:tc>
        <w:tc>
          <w:tcPr>
            <w:tcW w:w="711" w:type="pct"/>
            <w:vMerge/>
            <w:shd w:val="clear" w:color="auto" w:fill="DCECBE"/>
          </w:tcPr>
          <w:p w:rsidR="00367654" w:rsidRDefault="00367654" w:rsidP="00877474">
            <w:pPr>
              <w:spacing w:before="120" w:after="240"/>
            </w:pPr>
          </w:p>
        </w:tc>
      </w:tr>
      <w:tr w:rsidR="004202BC" w:rsidTr="004202BC">
        <w:tc>
          <w:tcPr>
            <w:tcW w:w="4021" w:type="pct"/>
            <w:shd w:val="clear" w:color="auto" w:fill="DCECBE"/>
          </w:tcPr>
          <w:p w:rsidR="00367654" w:rsidRDefault="00367654" w:rsidP="00367654">
            <w:pPr>
              <w:spacing w:before="120" w:after="120"/>
            </w:pPr>
            <w:r>
              <w:t>All other impacts</w:t>
            </w:r>
          </w:p>
        </w:tc>
        <w:tc>
          <w:tcPr>
            <w:tcW w:w="268" w:type="pct"/>
            <w:shd w:val="clear" w:color="auto" w:fill="DCECBE"/>
          </w:tcPr>
          <w:p w:rsidR="00367654" w:rsidRDefault="00367654" w:rsidP="00877474">
            <w:pPr>
              <w:spacing w:before="120" w:after="240"/>
            </w:pPr>
            <w:r>
              <w:t>C</w:t>
            </w:r>
          </w:p>
        </w:tc>
        <w:tc>
          <w:tcPr>
            <w:tcW w:w="711" w:type="pct"/>
            <w:vMerge/>
            <w:shd w:val="clear" w:color="auto" w:fill="DCECBE"/>
          </w:tcPr>
          <w:p w:rsidR="00367654" w:rsidRDefault="00367654" w:rsidP="00877474">
            <w:pPr>
              <w:spacing w:before="120" w:after="240"/>
            </w:pPr>
          </w:p>
        </w:tc>
      </w:tr>
      <w:tr w:rsidR="004202BC" w:rsidTr="004202BC">
        <w:tc>
          <w:tcPr>
            <w:tcW w:w="5000" w:type="pct"/>
            <w:gridSpan w:val="3"/>
            <w:shd w:val="clear" w:color="auto" w:fill="DCECBE"/>
          </w:tcPr>
          <w:p w:rsidR="004202BC" w:rsidRDefault="004202BC" w:rsidP="00877474">
            <w:pPr>
              <w:spacing w:before="120" w:after="240"/>
            </w:pPr>
            <w:r w:rsidRPr="004202BC">
              <w:rPr>
                <w:b/>
                <w:bCs/>
              </w:rPr>
              <w:t>Scope</w:t>
            </w:r>
            <w:r>
              <w:t xml:space="preserve"> </w:t>
            </w:r>
          </w:p>
          <w:p w:rsidR="004202BC" w:rsidRPr="004202BC" w:rsidRDefault="004202BC" w:rsidP="00877474">
            <w:pPr>
              <w:spacing w:before="120" w:after="240"/>
              <w:rPr>
                <w:b/>
                <w:bCs/>
              </w:rPr>
            </w:pPr>
            <w:r>
              <w:t>A human rights perspective places emphasis on rights and freedoms as they are enjoyed and exercised by specific individuals. It is therefore important to consider scope (i.e., the number of people affected) not only in absolute numbers but also to consider more precisely, who the individual workers and community members are that are impacted. Some impacts might be small in numerical terms but might be biased towards certain rights-holder groups that proportionally are hit harder. For example, maybe only</w:t>
            </w:r>
            <w:r w:rsidRPr="00AB7318">
              <w:t xml:space="preserve"> 5% of workers are </w:t>
            </w:r>
            <w:r>
              <w:t>affected but if this is the entirety of the security workers, who have been identified as having poor working conditions, this would need to be elevated. Identifiable groups will be context specific. Ways of disaggregating the potentially affected people might include, for example, permanent vs temporary workers, female or male community members, etc.</w:t>
            </w:r>
          </w:p>
        </w:tc>
      </w:tr>
      <w:tr w:rsidR="004202BC" w:rsidTr="004202BC">
        <w:tc>
          <w:tcPr>
            <w:tcW w:w="4021" w:type="pct"/>
            <w:shd w:val="clear" w:color="auto" w:fill="DCECBE"/>
          </w:tcPr>
          <w:p w:rsidR="004202BC" w:rsidRDefault="004202BC" w:rsidP="004202BC">
            <w:pPr>
              <w:spacing w:before="120" w:after="120"/>
            </w:pPr>
            <w:r w:rsidRPr="00AB7318">
              <w:t>&gt;</w:t>
            </w:r>
            <w:r>
              <w:t>20</w:t>
            </w:r>
            <w:r w:rsidRPr="00AB7318">
              <w:t xml:space="preserve">% of total population in area of impact or &gt;50% of identifiable group </w:t>
            </w:r>
          </w:p>
        </w:tc>
        <w:tc>
          <w:tcPr>
            <w:tcW w:w="268" w:type="pct"/>
            <w:shd w:val="clear" w:color="auto" w:fill="DCECBE"/>
          </w:tcPr>
          <w:p w:rsidR="004202BC" w:rsidRDefault="004202BC" w:rsidP="004202BC">
            <w:pPr>
              <w:spacing w:before="120" w:after="240"/>
            </w:pPr>
            <w:r>
              <w:t>A</w:t>
            </w:r>
          </w:p>
        </w:tc>
        <w:tc>
          <w:tcPr>
            <w:tcW w:w="711" w:type="pct"/>
            <w:vMerge w:val="restart"/>
            <w:shd w:val="clear" w:color="auto" w:fill="DCECBE"/>
          </w:tcPr>
          <w:p w:rsidR="004202BC" w:rsidRDefault="004202BC" w:rsidP="004202BC">
            <w:pPr>
              <w:spacing w:before="120" w:after="240"/>
            </w:pPr>
          </w:p>
        </w:tc>
      </w:tr>
      <w:tr w:rsidR="004202BC" w:rsidTr="004202BC">
        <w:tc>
          <w:tcPr>
            <w:tcW w:w="4021" w:type="pct"/>
            <w:shd w:val="clear" w:color="auto" w:fill="DCECBE"/>
          </w:tcPr>
          <w:p w:rsidR="004202BC" w:rsidRDefault="004202BC" w:rsidP="004202BC">
            <w:pPr>
              <w:spacing w:before="120" w:after="120"/>
            </w:pPr>
            <w:r w:rsidRPr="00AB7318">
              <w:t>&gt;</w:t>
            </w:r>
            <w:r>
              <w:t>10</w:t>
            </w:r>
            <w:r w:rsidRPr="00AB7318">
              <w:t>% of total population in area of impact or &gt;</w:t>
            </w:r>
            <w:r>
              <w:t>11-</w:t>
            </w:r>
            <w:r w:rsidRPr="00AB7318">
              <w:t>50% of identifiable group</w:t>
            </w:r>
          </w:p>
        </w:tc>
        <w:tc>
          <w:tcPr>
            <w:tcW w:w="268" w:type="pct"/>
            <w:shd w:val="clear" w:color="auto" w:fill="DCECBE"/>
          </w:tcPr>
          <w:p w:rsidR="004202BC" w:rsidRDefault="004202BC" w:rsidP="004202BC">
            <w:pPr>
              <w:spacing w:before="120" w:after="240"/>
            </w:pPr>
            <w:r>
              <w:t>B</w:t>
            </w:r>
          </w:p>
        </w:tc>
        <w:tc>
          <w:tcPr>
            <w:tcW w:w="711" w:type="pct"/>
            <w:vMerge/>
            <w:shd w:val="clear" w:color="auto" w:fill="DCECBE"/>
          </w:tcPr>
          <w:p w:rsidR="004202BC" w:rsidRDefault="004202BC" w:rsidP="004202BC">
            <w:pPr>
              <w:spacing w:before="120" w:after="240"/>
            </w:pPr>
          </w:p>
        </w:tc>
      </w:tr>
      <w:tr w:rsidR="004202BC" w:rsidTr="004202BC">
        <w:tc>
          <w:tcPr>
            <w:tcW w:w="4021" w:type="pct"/>
            <w:shd w:val="clear" w:color="auto" w:fill="DCECBE"/>
          </w:tcPr>
          <w:p w:rsidR="004202BC" w:rsidRDefault="004202BC" w:rsidP="004202BC">
            <w:pPr>
              <w:spacing w:before="120" w:after="120"/>
            </w:pPr>
            <w:r w:rsidRPr="00AB7318">
              <w:t>&gt;</w:t>
            </w:r>
            <w:r>
              <w:t>5</w:t>
            </w:r>
            <w:r w:rsidRPr="00AB7318">
              <w:t xml:space="preserve">% of total population in area of impact or </w:t>
            </w:r>
            <w:r>
              <w:t>&lt;10</w:t>
            </w:r>
            <w:r w:rsidRPr="00AB7318">
              <w:t>% of identifiable group</w:t>
            </w:r>
          </w:p>
        </w:tc>
        <w:tc>
          <w:tcPr>
            <w:tcW w:w="268" w:type="pct"/>
            <w:shd w:val="clear" w:color="auto" w:fill="DCECBE"/>
          </w:tcPr>
          <w:p w:rsidR="004202BC" w:rsidRDefault="004202BC" w:rsidP="004202BC">
            <w:pPr>
              <w:spacing w:before="120" w:after="240"/>
            </w:pPr>
            <w:r>
              <w:t>C</w:t>
            </w:r>
          </w:p>
        </w:tc>
        <w:tc>
          <w:tcPr>
            <w:tcW w:w="711" w:type="pct"/>
            <w:vMerge/>
            <w:shd w:val="clear" w:color="auto" w:fill="DCECBE"/>
          </w:tcPr>
          <w:p w:rsidR="004202BC" w:rsidRDefault="004202BC" w:rsidP="004202BC">
            <w:pPr>
              <w:spacing w:before="120" w:after="240"/>
            </w:pPr>
          </w:p>
        </w:tc>
      </w:tr>
      <w:tr w:rsidR="004202BC" w:rsidTr="004202BC">
        <w:tc>
          <w:tcPr>
            <w:tcW w:w="5000" w:type="pct"/>
            <w:gridSpan w:val="3"/>
            <w:shd w:val="clear" w:color="auto" w:fill="DCECBE"/>
          </w:tcPr>
          <w:p w:rsidR="004202BC" w:rsidRDefault="004202BC" w:rsidP="004202BC">
            <w:pPr>
              <w:spacing w:before="120" w:after="240"/>
              <w:rPr>
                <w:b/>
                <w:bCs/>
              </w:rPr>
            </w:pPr>
            <w:r w:rsidRPr="004202BC">
              <w:rPr>
                <w:b/>
                <w:bCs/>
              </w:rPr>
              <w:t>Irremediability</w:t>
            </w:r>
          </w:p>
          <w:p w:rsidR="004202BC" w:rsidRPr="004202BC" w:rsidRDefault="004202BC" w:rsidP="004202BC">
            <w:pPr>
              <w:spacing w:before="120" w:after="240"/>
            </w:pPr>
            <w:r>
              <w:t xml:space="preserve">The third important factor to consider in severity evaluation is how easy or difficult it would be to remediate the impact. </w:t>
            </w:r>
          </w:p>
        </w:tc>
      </w:tr>
      <w:tr w:rsidR="004202BC" w:rsidTr="004202BC">
        <w:tc>
          <w:tcPr>
            <w:tcW w:w="4021" w:type="pct"/>
            <w:shd w:val="clear" w:color="auto" w:fill="DCECBE"/>
          </w:tcPr>
          <w:p w:rsidR="004202BC" w:rsidRDefault="004202BC" w:rsidP="004202BC">
            <w:pPr>
              <w:spacing w:before="120" w:after="120"/>
            </w:pPr>
            <w:r w:rsidRPr="00AB7318">
              <w:t xml:space="preserve">Difficult – complex technical requirements, little acceptance of remediation by the identified group, low capacity of </w:t>
            </w:r>
            <w:r w:rsidRPr="00AB7318">
              <w:lastRenderedPageBreak/>
              <w:t xml:space="preserve">implementation partner, no viable replacement for loss </w:t>
            </w:r>
            <w:r>
              <w:t>caused by impacts</w:t>
            </w:r>
          </w:p>
        </w:tc>
        <w:tc>
          <w:tcPr>
            <w:tcW w:w="268" w:type="pct"/>
            <w:shd w:val="clear" w:color="auto" w:fill="DCECBE"/>
          </w:tcPr>
          <w:p w:rsidR="004202BC" w:rsidRDefault="004202BC" w:rsidP="004202BC">
            <w:pPr>
              <w:spacing w:before="120" w:after="240"/>
            </w:pPr>
            <w:r>
              <w:lastRenderedPageBreak/>
              <w:t>A</w:t>
            </w:r>
          </w:p>
        </w:tc>
        <w:tc>
          <w:tcPr>
            <w:tcW w:w="711" w:type="pct"/>
            <w:vMerge w:val="restart"/>
            <w:shd w:val="clear" w:color="auto" w:fill="DCECBE"/>
          </w:tcPr>
          <w:p w:rsidR="004202BC" w:rsidRDefault="004202BC" w:rsidP="004202BC">
            <w:pPr>
              <w:spacing w:before="120" w:after="240"/>
            </w:pPr>
          </w:p>
        </w:tc>
      </w:tr>
      <w:tr w:rsidR="004202BC" w:rsidTr="004202BC">
        <w:tc>
          <w:tcPr>
            <w:tcW w:w="4021" w:type="pct"/>
            <w:shd w:val="clear" w:color="auto" w:fill="DCECBE"/>
          </w:tcPr>
          <w:p w:rsidR="004202BC" w:rsidRDefault="004202BC" w:rsidP="004202BC">
            <w:pPr>
              <w:spacing w:before="120" w:after="120"/>
            </w:pPr>
            <w:r w:rsidRPr="00AB7318">
              <w:t>Moderate – simpler technical requirements, acceptance by the identified group, implementation partner can deliver with some capacity development</w:t>
            </w:r>
          </w:p>
        </w:tc>
        <w:tc>
          <w:tcPr>
            <w:tcW w:w="268" w:type="pct"/>
            <w:shd w:val="clear" w:color="auto" w:fill="DCECBE"/>
          </w:tcPr>
          <w:p w:rsidR="004202BC" w:rsidRDefault="004202BC" w:rsidP="004202BC">
            <w:pPr>
              <w:spacing w:before="120" w:after="240"/>
            </w:pPr>
            <w:r>
              <w:t>B</w:t>
            </w:r>
          </w:p>
        </w:tc>
        <w:tc>
          <w:tcPr>
            <w:tcW w:w="711" w:type="pct"/>
            <w:vMerge/>
            <w:shd w:val="clear" w:color="auto" w:fill="DCECBE"/>
          </w:tcPr>
          <w:p w:rsidR="004202BC" w:rsidRDefault="004202BC" w:rsidP="004202BC">
            <w:pPr>
              <w:spacing w:before="120" w:after="240"/>
            </w:pPr>
          </w:p>
        </w:tc>
      </w:tr>
      <w:tr w:rsidR="004202BC" w:rsidTr="004202BC">
        <w:tc>
          <w:tcPr>
            <w:tcW w:w="4021" w:type="pct"/>
            <w:shd w:val="clear" w:color="auto" w:fill="DCECBE"/>
          </w:tcPr>
          <w:p w:rsidR="004202BC" w:rsidRDefault="004202BC" w:rsidP="004202BC">
            <w:pPr>
              <w:spacing w:before="120" w:after="120"/>
            </w:pPr>
            <w:r w:rsidRPr="00AB7318">
              <w:t>Easy – simple technical requirements, acceptance by the identified group, implementation partner has capacity to deliver</w:t>
            </w:r>
          </w:p>
        </w:tc>
        <w:tc>
          <w:tcPr>
            <w:tcW w:w="268" w:type="pct"/>
            <w:shd w:val="clear" w:color="auto" w:fill="DCECBE"/>
          </w:tcPr>
          <w:p w:rsidR="004202BC" w:rsidRDefault="004202BC" w:rsidP="004202BC">
            <w:pPr>
              <w:spacing w:before="120" w:after="240"/>
            </w:pPr>
            <w:r>
              <w:t>C</w:t>
            </w:r>
          </w:p>
        </w:tc>
        <w:tc>
          <w:tcPr>
            <w:tcW w:w="711" w:type="pct"/>
            <w:shd w:val="clear" w:color="auto" w:fill="DCECBE"/>
          </w:tcPr>
          <w:p w:rsidR="004202BC" w:rsidRDefault="004202BC" w:rsidP="004202BC">
            <w:pPr>
              <w:spacing w:before="120" w:after="240"/>
            </w:pPr>
          </w:p>
        </w:tc>
      </w:tr>
      <w:tr w:rsidR="004202BC" w:rsidTr="004202BC">
        <w:tc>
          <w:tcPr>
            <w:tcW w:w="5000" w:type="pct"/>
            <w:gridSpan w:val="3"/>
            <w:shd w:val="clear" w:color="auto" w:fill="DCECBE"/>
          </w:tcPr>
          <w:p w:rsidR="004202BC" w:rsidRPr="00367654" w:rsidRDefault="004202BC" w:rsidP="004202BC">
            <w:pPr>
              <w:spacing w:before="120" w:after="120"/>
              <w:rPr>
                <w:sz w:val="20"/>
                <w:szCs w:val="20"/>
              </w:rPr>
            </w:pPr>
            <w:r w:rsidRPr="00367654">
              <w:rPr>
                <w:sz w:val="20"/>
                <w:szCs w:val="20"/>
              </w:rPr>
              <w:t>Source: Danish Institute for Human Rights and Community Insights Group</w:t>
            </w:r>
          </w:p>
        </w:tc>
      </w:tr>
    </w:tbl>
    <w:p w:rsidR="004202BC" w:rsidRDefault="004202BC" w:rsidP="004202BC">
      <w:pPr>
        <w:rPr>
          <w:noProof/>
          <w:lang w:eastAsia="da-DK"/>
        </w:rPr>
      </w:pPr>
    </w:p>
    <w:p w:rsidR="005804D9" w:rsidRPr="00635DEB" w:rsidRDefault="005804D9" w:rsidP="004202BC">
      <w:pPr>
        <w:rPr>
          <w:noProof/>
          <w:lang w:eastAsia="da-DK"/>
        </w:rPr>
      </w:pPr>
    </w:p>
    <w:tbl>
      <w:tblPr>
        <w:tblStyle w:val="TableGrid"/>
        <w:tblW w:w="7927" w:type="dxa"/>
        <w:shd w:val="clear" w:color="auto" w:fill="FF7CBD" w:themeFill="accent3" w:themeFillTint="66"/>
        <w:tblLook w:val="04A0" w:firstRow="1" w:lastRow="0" w:firstColumn="1" w:lastColumn="0" w:noHBand="0" w:noVBand="1"/>
      </w:tblPr>
      <w:tblGrid>
        <w:gridCol w:w="1609"/>
        <w:gridCol w:w="1557"/>
        <w:gridCol w:w="1519"/>
        <w:gridCol w:w="1774"/>
        <w:gridCol w:w="1468"/>
      </w:tblGrid>
      <w:tr w:rsidR="00700E08" w:rsidRPr="006E7003" w:rsidTr="00700E08">
        <w:trPr>
          <w:tblHeader/>
        </w:trPr>
        <w:tc>
          <w:tcPr>
            <w:tcW w:w="8719" w:type="dxa"/>
            <w:gridSpan w:val="5"/>
            <w:shd w:val="clear" w:color="auto" w:fill="D6E3BC"/>
          </w:tcPr>
          <w:p w:rsidR="00700E08" w:rsidRPr="006E7003" w:rsidRDefault="00700E08" w:rsidP="00877474">
            <w:pPr>
              <w:spacing w:before="120" w:after="120" w:line="280" w:lineRule="atLeast"/>
              <w:rPr>
                <w:b/>
                <w:noProof/>
                <w:lang w:eastAsia="da-DK"/>
              </w:rPr>
            </w:pPr>
            <w:r w:rsidRPr="003B62C8">
              <w:rPr>
                <w:b/>
                <w:noProof/>
                <w:lang w:eastAsia="da-DK"/>
              </w:rPr>
              <w:t>Table D</w:t>
            </w:r>
            <w:r w:rsidRPr="00FB0503">
              <w:rPr>
                <w:b/>
                <w:noProof/>
                <w:lang w:eastAsia="da-DK"/>
              </w:rPr>
              <w:t>:</w:t>
            </w:r>
            <w:r w:rsidRPr="006E7003">
              <w:rPr>
                <w:b/>
                <w:noProof/>
                <w:lang w:eastAsia="da-DK"/>
              </w:rPr>
              <w:t xml:space="preserve"> Examples of assessing impact severity</w:t>
            </w:r>
          </w:p>
        </w:tc>
      </w:tr>
      <w:tr w:rsidR="00700E08" w:rsidRPr="006E7003" w:rsidTr="00700E08">
        <w:trPr>
          <w:tblHeader/>
        </w:trPr>
        <w:tc>
          <w:tcPr>
            <w:tcW w:w="1751" w:type="dxa"/>
            <w:shd w:val="clear" w:color="auto" w:fill="D6E3BC"/>
          </w:tcPr>
          <w:p w:rsidR="00700E08" w:rsidRPr="00F75F9B" w:rsidRDefault="00700E08" w:rsidP="00877474">
            <w:pPr>
              <w:spacing w:before="120" w:after="120" w:line="280" w:lineRule="atLeast"/>
              <w:rPr>
                <w:b/>
                <w:noProof/>
                <w:lang w:eastAsia="da-DK"/>
              </w:rPr>
            </w:pPr>
            <w:r w:rsidRPr="00F75F9B">
              <w:rPr>
                <w:b/>
                <w:noProof/>
                <w:lang w:eastAsia="da-DK"/>
              </w:rPr>
              <w:t>Impact Scenario</w:t>
            </w:r>
          </w:p>
        </w:tc>
        <w:tc>
          <w:tcPr>
            <w:tcW w:w="1710" w:type="dxa"/>
            <w:shd w:val="clear" w:color="auto" w:fill="D6E3BC"/>
          </w:tcPr>
          <w:p w:rsidR="00700E08" w:rsidRPr="00F75F9B" w:rsidRDefault="00700E08" w:rsidP="00877474">
            <w:pPr>
              <w:spacing w:before="120" w:after="120" w:line="280" w:lineRule="atLeast"/>
              <w:rPr>
                <w:b/>
                <w:noProof/>
                <w:lang w:eastAsia="da-DK"/>
              </w:rPr>
            </w:pPr>
            <w:r w:rsidRPr="00F75F9B">
              <w:rPr>
                <w:b/>
                <w:noProof/>
                <w:lang w:eastAsia="da-DK"/>
              </w:rPr>
              <w:t>Scale</w:t>
            </w:r>
          </w:p>
        </w:tc>
        <w:tc>
          <w:tcPr>
            <w:tcW w:w="1730" w:type="dxa"/>
            <w:shd w:val="clear" w:color="auto" w:fill="D6E3BC"/>
          </w:tcPr>
          <w:p w:rsidR="00700E08" w:rsidRPr="00F75F9B" w:rsidRDefault="00700E08" w:rsidP="00877474">
            <w:pPr>
              <w:spacing w:before="120" w:after="120" w:line="280" w:lineRule="atLeast"/>
              <w:rPr>
                <w:b/>
                <w:noProof/>
                <w:lang w:eastAsia="da-DK"/>
              </w:rPr>
            </w:pPr>
            <w:r w:rsidRPr="00F75F9B">
              <w:rPr>
                <w:b/>
                <w:noProof/>
                <w:lang w:eastAsia="da-DK"/>
              </w:rPr>
              <w:t>Scope</w:t>
            </w:r>
          </w:p>
        </w:tc>
        <w:tc>
          <w:tcPr>
            <w:tcW w:w="1940" w:type="dxa"/>
            <w:shd w:val="clear" w:color="auto" w:fill="D6E3BC"/>
          </w:tcPr>
          <w:p w:rsidR="00700E08" w:rsidRPr="00F75F9B" w:rsidRDefault="00700E08" w:rsidP="00877474">
            <w:pPr>
              <w:spacing w:before="120" w:after="120" w:line="280" w:lineRule="atLeast"/>
              <w:rPr>
                <w:b/>
                <w:noProof/>
                <w:lang w:eastAsia="da-DK"/>
              </w:rPr>
            </w:pPr>
            <w:r w:rsidRPr="00F75F9B">
              <w:rPr>
                <w:b/>
                <w:noProof/>
                <w:lang w:eastAsia="da-DK"/>
              </w:rPr>
              <w:t>Irremediability</w:t>
            </w:r>
          </w:p>
        </w:tc>
        <w:tc>
          <w:tcPr>
            <w:tcW w:w="1588" w:type="dxa"/>
            <w:shd w:val="clear" w:color="auto" w:fill="D6E3BC"/>
          </w:tcPr>
          <w:p w:rsidR="00700E08" w:rsidRPr="00F75F9B" w:rsidRDefault="00700E08" w:rsidP="00877474">
            <w:pPr>
              <w:spacing w:before="120" w:after="120" w:line="280" w:lineRule="atLeast"/>
              <w:rPr>
                <w:b/>
                <w:noProof/>
                <w:lang w:eastAsia="da-DK"/>
              </w:rPr>
            </w:pPr>
            <w:r w:rsidRPr="00F75F9B">
              <w:rPr>
                <w:b/>
                <w:noProof/>
                <w:lang w:eastAsia="da-DK"/>
              </w:rPr>
              <w:t>Overall assessment</w:t>
            </w:r>
          </w:p>
        </w:tc>
      </w:tr>
      <w:tr w:rsidR="00700E08" w:rsidRPr="006E7003" w:rsidTr="00700E08">
        <w:tc>
          <w:tcPr>
            <w:tcW w:w="1751" w:type="dxa"/>
            <w:shd w:val="clear" w:color="auto" w:fill="D6E3BC"/>
          </w:tcPr>
          <w:p w:rsidR="00700E08" w:rsidRPr="006E7003" w:rsidRDefault="00700E08" w:rsidP="00877474">
            <w:pPr>
              <w:spacing w:before="120" w:after="120" w:line="280" w:lineRule="atLeast"/>
              <w:rPr>
                <w:noProof/>
                <w:lang w:eastAsia="da-DK"/>
              </w:rPr>
            </w:pPr>
            <w:r w:rsidRPr="006E7003">
              <w:rPr>
                <w:noProof/>
                <w:lang w:eastAsia="da-DK"/>
              </w:rPr>
              <w:t>A company has temporarily restricted access to an important cultura</w:t>
            </w:r>
            <w:r>
              <w:rPr>
                <w:noProof/>
                <w:lang w:eastAsia="da-DK"/>
              </w:rPr>
              <w:t>l heritage site for a group of indigenous p</w:t>
            </w:r>
            <w:r w:rsidRPr="006E7003">
              <w:rPr>
                <w:noProof/>
                <w:lang w:eastAsia="da-DK"/>
              </w:rPr>
              <w:t>eoples, which make up 2% of the population and have been identified as a vulnerable group.</w:t>
            </w:r>
          </w:p>
        </w:tc>
        <w:tc>
          <w:tcPr>
            <w:tcW w:w="1710" w:type="dxa"/>
            <w:shd w:val="clear" w:color="auto" w:fill="D6E3BC"/>
          </w:tcPr>
          <w:p w:rsidR="00700E08" w:rsidRPr="006E7003" w:rsidRDefault="00700E08" w:rsidP="00877474">
            <w:pPr>
              <w:spacing w:before="120" w:after="120" w:line="280" w:lineRule="atLeast"/>
              <w:rPr>
                <w:noProof/>
                <w:lang w:eastAsia="da-DK"/>
              </w:rPr>
            </w:pPr>
            <w:r>
              <w:rPr>
                <w:noProof/>
                <w:lang w:eastAsia="da-DK"/>
              </w:rPr>
              <w:t>B:</w:t>
            </w:r>
            <w:r w:rsidRPr="006E7003">
              <w:rPr>
                <w:noProof/>
                <w:lang w:eastAsia="da-DK"/>
              </w:rPr>
              <w:t xml:space="preserve"> A tangible infringement on the right to participate in cultural life.</w:t>
            </w:r>
          </w:p>
        </w:tc>
        <w:tc>
          <w:tcPr>
            <w:tcW w:w="1730" w:type="dxa"/>
            <w:shd w:val="clear" w:color="auto" w:fill="D6E3BC"/>
          </w:tcPr>
          <w:p w:rsidR="00700E08" w:rsidRPr="006E7003" w:rsidRDefault="00700E08" w:rsidP="00877474">
            <w:pPr>
              <w:spacing w:before="120" w:after="120" w:line="280" w:lineRule="atLeast"/>
              <w:rPr>
                <w:noProof/>
                <w:lang w:eastAsia="da-DK"/>
              </w:rPr>
            </w:pPr>
            <w:r>
              <w:rPr>
                <w:noProof/>
                <w:lang w:eastAsia="da-DK"/>
              </w:rPr>
              <w:t>A</w:t>
            </w:r>
            <w:r w:rsidRPr="006E7003">
              <w:rPr>
                <w:noProof/>
                <w:lang w:eastAsia="da-DK"/>
              </w:rPr>
              <w:t xml:space="preserve">: Whilst the absolute number of people affected is </w:t>
            </w:r>
            <w:r>
              <w:rPr>
                <w:noProof/>
                <w:lang w:eastAsia="da-DK"/>
              </w:rPr>
              <w:t>small, the people impacted are i</w:t>
            </w:r>
            <w:r w:rsidRPr="006E7003">
              <w:rPr>
                <w:noProof/>
                <w:lang w:eastAsia="da-DK"/>
              </w:rPr>
              <w:t xml:space="preserve">ndigneous and have been identified as a vulnerable group. </w:t>
            </w:r>
          </w:p>
        </w:tc>
        <w:tc>
          <w:tcPr>
            <w:tcW w:w="1940" w:type="dxa"/>
            <w:shd w:val="clear" w:color="auto" w:fill="D6E3BC"/>
          </w:tcPr>
          <w:p w:rsidR="00700E08" w:rsidRPr="006E7003" w:rsidRDefault="00700E08" w:rsidP="00877474">
            <w:pPr>
              <w:spacing w:before="120" w:after="120" w:line="280" w:lineRule="atLeast"/>
              <w:rPr>
                <w:noProof/>
                <w:lang w:eastAsia="da-DK"/>
              </w:rPr>
            </w:pPr>
            <w:r>
              <w:rPr>
                <w:noProof/>
                <w:lang w:eastAsia="da-DK"/>
              </w:rPr>
              <w:t>C</w:t>
            </w:r>
            <w:r w:rsidRPr="006E7003">
              <w:rPr>
                <w:noProof/>
                <w:lang w:eastAsia="da-DK"/>
              </w:rPr>
              <w:t>: The impact can be remediated by re-establishing access to the cultural hertiage site after the temporary restrictions.</w:t>
            </w:r>
          </w:p>
        </w:tc>
        <w:tc>
          <w:tcPr>
            <w:tcW w:w="1588" w:type="dxa"/>
            <w:shd w:val="clear" w:color="auto" w:fill="D6E3BC"/>
          </w:tcPr>
          <w:p w:rsidR="00700E08" w:rsidRPr="006E7003" w:rsidRDefault="00700E08" w:rsidP="00877474">
            <w:pPr>
              <w:spacing w:before="120" w:after="120" w:line="280" w:lineRule="atLeast"/>
              <w:rPr>
                <w:noProof/>
                <w:lang w:eastAsia="da-DK"/>
              </w:rPr>
            </w:pPr>
            <w:r w:rsidRPr="006E7003">
              <w:rPr>
                <w:noProof/>
                <w:lang w:eastAsia="da-DK"/>
              </w:rPr>
              <w:t xml:space="preserve">This might be considered </w:t>
            </w:r>
            <w:r>
              <w:rPr>
                <w:noProof/>
                <w:lang w:eastAsia="da-DK"/>
              </w:rPr>
              <w:t>an impact of medium severity;</w:t>
            </w:r>
            <w:r w:rsidRPr="006E7003">
              <w:rPr>
                <w:noProof/>
                <w:lang w:eastAsia="da-DK"/>
              </w:rPr>
              <w:t xml:space="preserve"> whilst it is a temporary impact that can also be remediated, the impact is on a group of vulnerable individuals.</w:t>
            </w:r>
          </w:p>
        </w:tc>
      </w:tr>
      <w:tr w:rsidR="00700E08" w:rsidRPr="006E7003" w:rsidTr="00700E08">
        <w:tc>
          <w:tcPr>
            <w:tcW w:w="1751" w:type="dxa"/>
            <w:shd w:val="clear" w:color="auto" w:fill="D6E3BC"/>
          </w:tcPr>
          <w:p w:rsidR="00700E08" w:rsidRPr="006E7003" w:rsidRDefault="00700E08" w:rsidP="00877474">
            <w:pPr>
              <w:spacing w:before="120" w:after="120" w:line="280" w:lineRule="atLeast"/>
              <w:rPr>
                <w:noProof/>
                <w:lang w:eastAsia="da-DK"/>
              </w:rPr>
            </w:pPr>
            <w:r w:rsidRPr="006E7003">
              <w:rPr>
                <w:noProof/>
                <w:lang w:eastAsia="da-DK"/>
              </w:rPr>
              <w:t xml:space="preserve">Private security </w:t>
            </w:r>
            <w:r w:rsidRPr="006E7003">
              <w:rPr>
                <w:noProof/>
                <w:lang w:eastAsia="da-DK"/>
              </w:rPr>
              <w:lastRenderedPageBreak/>
              <w:t xml:space="preserve">forces employed by the company have been found to sexually harass women and girls in the local communities. </w:t>
            </w:r>
          </w:p>
        </w:tc>
        <w:tc>
          <w:tcPr>
            <w:tcW w:w="1710" w:type="dxa"/>
            <w:shd w:val="clear" w:color="auto" w:fill="D6E3BC"/>
          </w:tcPr>
          <w:p w:rsidR="00700E08" w:rsidRPr="006E7003" w:rsidRDefault="00700E08" w:rsidP="00877474">
            <w:pPr>
              <w:spacing w:before="120" w:after="120" w:line="280" w:lineRule="atLeast"/>
              <w:rPr>
                <w:noProof/>
                <w:lang w:eastAsia="da-DK"/>
              </w:rPr>
            </w:pPr>
            <w:r>
              <w:rPr>
                <w:noProof/>
                <w:lang w:eastAsia="da-DK"/>
              </w:rPr>
              <w:lastRenderedPageBreak/>
              <w:t>A</w:t>
            </w:r>
            <w:r w:rsidRPr="006E7003">
              <w:rPr>
                <w:noProof/>
                <w:lang w:eastAsia="da-DK"/>
              </w:rPr>
              <w:t xml:space="preserve">: A serious interference </w:t>
            </w:r>
            <w:r w:rsidRPr="006E7003">
              <w:rPr>
                <w:noProof/>
                <w:lang w:eastAsia="da-DK"/>
              </w:rPr>
              <w:lastRenderedPageBreak/>
              <w:t>with the women and girls’ right to security of person and children’s rights.</w:t>
            </w:r>
          </w:p>
        </w:tc>
        <w:tc>
          <w:tcPr>
            <w:tcW w:w="1730" w:type="dxa"/>
            <w:shd w:val="clear" w:color="auto" w:fill="D6E3BC"/>
          </w:tcPr>
          <w:p w:rsidR="00700E08" w:rsidRPr="006E7003" w:rsidRDefault="00700E08" w:rsidP="00877474">
            <w:pPr>
              <w:spacing w:before="120" w:after="120" w:line="280" w:lineRule="atLeast"/>
              <w:rPr>
                <w:noProof/>
                <w:lang w:eastAsia="da-DK"/>
              </w:rPr>
            </w:pPr>
            <w:r>
              <w:rPr>
                <w:noProof/>
                <w:lang w:eastAsia="da-DK"/>
              </w:rPr>
              <w:lastRenderedPageBreak/>
              <w:t>A</w:t>
            </w:r>
            <w:r w:rsidRPr="006E7003">
              <w:rPr>
                <w:noProof/>
                <w:lang w:eastAsia="da-DK"/>
              </w:rPr>
              <w:t xml:space="preserve">: Women and girls not </w:t>
            </w:r>
            <w:r w:rsidRPr="006E7003">
              <w:rPr>
                <w:noProof/>
                <w:lang w:eastAsia="da-DK"/>
              </w:rPr>
              <w:lastRenderedPageBreak/>
              <w:t>only make up half of the population, but they would also be considered vulnerable to this particular type of harassment.</w:t>
            </w:r>
          </w:p>
        </w:tc>
        <w:tc>
          <w:tcPr>
            <w:tcW w:w="1940" w:type="dxa"/>
            <w:shd w:val="clear" w:color="auto" w:fill="D6E3BC"/>
          </w:tcPr>
          <w:p w:rsidR="00700E08" w:rsidRPr="006E7003" w:rsidRDefault="00700E08" w:rsidP="00877474">
            <w:pPr>
              <w:spacing w:before="120" w:after="120" w:line="280" w:lineRule="atLeast"/>
              <w:rPr>
                <w:noProof/>
                <w:lang w:eastAsia="da-DK"/>
              </w:rPr>
            </w:pPr>
            <w:r>
              <w:rPr>
                <w:noProof/>
                <w:lang w:eastAsia="da-DK"/>
              </w:rPr>
              <w:lastRenderedPageBreak/>
              <w:t>A</w:t>
            </w:r>
            <w:r w:rsidRPr="006E7003">
              <w:rPr>
                <w:noProof/>
                <w:lang w:eastAsia="da-DK"/>
              </w:rPr>
              <w:t xml:space="preserve">: The impacts of sexual </w:t>
            </w:r>
            <w:r w:rsidRPr="006E7003">
              <w:rPr>
                <w:noProof/>
                <w:lang w:eastAsia="da-DK"/>
              </w:rPr>
              <w:lastRenderedPageBreak/>
              <w:t xml:space="preserve">harassment and assault would </w:t>
            </w:r>
            <w:r>
              <w:rPr>
                <w:noProof/>
                <w:lang w:eastAsia="da-DK"/>
              </w:rPr>
              <w:t xml:space="preserve">be difficult or impossible to remediate. </w:t>
            </w:r>
          </w:p>
        </w:tc>
        <w:tc>
          <w:tcPr>
            <w:tcW w:w="1588" w:type="dxa"/>
            <w:shd w:val="clear" w:color="auto" w:fill="D6E3BC"/>
          </w:tcPr>
          <w:p w:rsidR="00700E08" w:rsidRPr="006E7003" w:rsidRDefault="00700E08" w:rsidP="00877474">
            <w:pPr>
              <w:spacing w:before="120" w:after="120" w:line="280" w:lineRule="atLeast"/>
              <w:rPr>
                <w:noProof/>
                <w:lang w:eastAsia="da-DK"/>
              </w:rPr>
            </w:pPr>
            <w:r w:rsidRPr="006E7003">
              <w:rPr>
                <w:noProof/>
                <w:lang w:eastAsia="da-DK"/>
              </w:rPr>
              <w:lastRenderedPageBreak/>
              <w:t xml:space="preserve">This might be </w:t>
            </w:r>
            <w:r w:rsidRPr="006E7003">
              <w:rPr>
                <w:noProof/>
                <w:lang w:eastAsia="da-DK"/>
              </w:rPr>
              <w:lastRenderedPageBreak/>
              <w:t xml:space="preserve">considered an impact of high severity. </w:t>
            </w:r>
          </w:p>
        </w:tc>
      </w:tr>
      <w:tr w:rsidR="00700E08" w:rsidRPr="006E7003" w:rsidTr="00700E08">
        <w:tc>
          <w:tcPr>
            <w:tcW w:w="1751" w:type="dxa"/>
            <w:shd w:val="clear" w:color="auto" w:fill="D6E3BC"/>
          </w:tcPr>
          <w:p w:rsidR="00700E08" w:rsidRPr="006E7003" w:rsidRDefault="00700E08" w:rsidP="00877474">
            <w:pPr>
              <w:spacing w:before="120" w:after="120" w:line="280" w:lineRule="atLeast"/>
              <w:rPr>
                <w:noProof/>
                <w:lang w:eastAsia="da-DK"/>
              </w:rPr>
            </w:pPr>
            <w:r w:rsidRPr="006E7003">
              <w:rPr>
                <w:noProof/>
                <w:lang w:eastAsia="da-DK"/>
              </w:rPr>
              <w:lastRenderedPageBreak/>
              <w:t>A company has poor health and safety training in place for its construction site employees, who make up 90% of the workforce of the company.</w:t>
            </w:r>
          </w:p>
        </w:tc>
        <w:tc>
          <w:tcPr>
            <w:tcW w:w="1710" w:type="dxa"/>
            <w:shd w:val="clear" w:color="auto" w:fill="D6E3BC"/>
          </w:tcPr>
          <w:p w:rsidR="00700E08" w:rsidRPr="006E7003" w:rsidRDefault="00700E08" w:rsidP="00877474">
            <w:pPr>
              <w:spacing w:before="120" w:after="120" w:line="280" w:lineRule="atLeast"/>
              <w:rPr>
                <w:noProof/>
                <w:lang w:eastAsia="da-DK"/>
              </w:rPr>
            </w:pPr>
            <w:r>
              <w:rPr>
                <w:noProof/>
                <w:lang w:eastAsia="da-DK"/>
              </w:rPr>
              <w:t>A</w:t>
            </w:r>
            <w:r w:rsidRPr="006E7003">
              <w:rPr>
                <w:noProof/>
                <w:lang w:eastAsia="da-DK"/>
              </w:rPr>
              <w:t>: Serious injury or death may result if the workers are not trained on how to navigate the hazardous conditions, impacting on the right to life and the right to health.</w:t>
            </w:r>
          </w:p>
        </w:tc>
        <w:tc>
          <w:tcPr>
            <w:tcW w:w="1730" w:type="dxa"/>
            <w:shd w:val="clear" w:color="auto" w:fill="D6E3BC"/>
          </w:tcPr>
          <w:p w:rsidR="00700E08" w:rsidRPr="006E7003" w:rsidRDefault="00700E08" w:rsidP="00877474">
            <w:pPr>
              <w:spacing w:before="120" w:after="120" w:line="280" w:lineRule="atLeast"/>
              <w:rPr>
                <w:noProof/>
                <w:lang w:eastAsia="da-DK"/>
              </w:rPr>
            </w:pPr>
            <w:r>
              <w:rPr>
                <w:noProof/>
                <w:lang w:eastAsia="da-DK"/>
              </w:rPr>
              <w:t>A</w:t>
            </w:r>
            <w:r w:rsidRPr="006E7003">
              <w:rPr>
                <w:noProof/>
                <w:lang w:eastAsia="da-DK"/>
              </w:rPr>
              <w:t>: The percentage of people affected is almost 100% of the identifiable group (i.e.</w:t>
            </w:r>
            <w:r w:rsidR="00C6588D">
              <w:rPr>
                <w:noProof/>
                <w:lang w:eastAsia="da-DK"/>
              </w:rPr>
              <w:t>,</w:t>
            </w:r>
            <w:r w:rsidRPr="006E7003">
              <w:rPr>
                <w:noProof/>
                <w:lang w:eastAsia="da-DK"/>
              </w:rPr>
              <w:t xml:space="preserve"> the company’s workers)</w:t>
            </w:r>
            <w:r>
              <w:rPr>
                <w:noProof/>
                <w:lang w:eastAsia="da-DK"/>
              </w:rPr>
              <w:t>.</w:t>
            </w:r>
          </w:p>
        </w:tc>
        <w:tc>
          <w:tcPr>
            <w:tcW w:w="1940" w:type="dxa"/>
            <w:shd w:val="clear" w:color="auto" w:fill="D6E3BC"/>
          </w:tcPr>
          <w:p w:rsidR="00700E08" w:rsidRPr="006E7003" w:rsidRDefault="00700E08" w:rsidP="00877474">
            <w:pPr>
              <w:spacing w:before="120" w:after="120" w:line="280" w:lineRule="atLeast"/>
              <w:rPr>
                <w:noProof/>
                <w:lang w:eastAsia="da-DK"/>
              </w:rPr>
            </w:pPr>
            <w:r>
              <w:rPr>
                <w:noProof/>
                <w:lang w:eastAsia="da-DK"/>
              </w:rPr>
              <w:t>A</w:t>
            </w:r>
            <w:r w:rsidRPr="006E7003">
              <w:rPr>
                <w:noProof/>
                <w:lang w:eastAsia="da-DK"/>
              </w:rPr>
              <w:t xml:space="preserve">: Serious injury or death will not be remediable. </w:t>
            </w:r>
          </w:p>
        </w:tc>
        <w:tc>
          <w:tcPr>
            <w:tcW w:w="1588" w:type="dxa"/>
            <w:shd w:val="clear" w:color="auto" w:fill="D6E3BC"/>
          </w:tcPr>
          <w:p w:rsidR="00700E08" w:rsidRPr="006E7003" w:rsidRDefault="00700E08" w:rsidP="00877474">
            <w:pPr>
              <w:spacing w:before="120" w:after="120" w:line="280" w:lineRule="atLeast"/>
              <w:rPr>
                <w:noProof/>
                <w:lang w:eastAsia="da-DK"/>
              </w:rPr>
            </w:pPr>
            <w:r w:rsidRPr="006E7003">
              <w:rPr>
                <w:noProof/>
                <w:lang w:eastAsia="da-DK"/>
              </w:rPr>
              <w:t>This might be considered an impact of high severity.</w:t>
            </w:r>
          </w:p>
        </w:tc>
      </w:tr>
      <w:tr w:rsidR="00700E08" w:rsidRPr="006E7003" w:rsidTr="00700E08">
        <w:tc>
          <w:tcPr>
            <w:tcW w:w="1751" w:type="dxa"/>
            <w:shd w:val="clear" w:color="auto" w:fill="D6E3BC"/>
          </w:tcPr>
          <w:p w:rsidR="00700E08" w:rsidRPr="006E7003" w:rsidRDefault="00700E08" w:rsidP="00877474">
            <w:pPr>
              <w:spacing w:before="120" w:after="120" w:line="280" w:lineRule="atLeast"/>
              <w:rPr>
                <w:noProof/>
                <w:lang w:eastAsia="da-DK"/>
              </w:rPr>
            </w:pPr>
            <w:r w:rsidRPr="006E7003">
              <w:rPr>
                <w:noProof/>
                <w:lang w:eastAsia="da-DK"/>
              </w:rPr>
              <w:t xml:space="preserve">A company is using land that was previously used </w:t>
            </w:r>
            <w:r>
              <w:rPr>
                <w:noProof/>
                <w:lang w:eastAsia="da-DK"/>
              </w:rPr>
              <w:t xml:space="preserve">by </w:t>
            </w:r>
            <w:r w:rsidRPr="006E7003">
              <w:rPr>
                <w:noProof/>
                <w:lang w:eastAsia="da-DK"/>
              </w:rPr>
              <w:t xml:space="preserve">some families for agricultural purposes. </w:t>
            </w:r>
            <w:r w:rsidRPr="006E7003">
              <w:rPr>
                <w:noProof/>
                <w:lang w:eastAsia="da-DK"/>
              </w:rPr>
              <w:lastRenderedPageBreak/>
              <w:t>Agriculture is one source of income for the local communities, they also engage in numerous other livelihood sustaining activities.</w:t>
            </w:r>
          </w:p>
        </w:tc>
        <w:tc>
          <w:tcPr>
            <w:tcW w:w="1710" w:type="dxa"/>
            <w:shd w:val="clear" w:color="auto" w:fill="D6E3BC"/>
          </w:tcPr>
          <w:p w:rsidR="00700E08" w:rsidRPr="006E7003" w:rsidRDefault="00700E08" w:rsidP="00877474">
            <w:pPr>
              <w:spacing w:before="120" w:after="120" w:line="280" w:lineRule="atLeast"/>
              <w:rPr>
                <w:noProof/>
                <w:lang w:eastAsia="da-DK"/>
              </w:rPr>
            </w:pPr>
            <w:r>
              <w:rPr>
                <w:noProof/>
                <w:lang w:eastAsia="da-DK"/>
              </w:rPr>
              <w:lastRenderedPageBreak/>
              <w:t>C</w:t>
            </w:r>
            <w:r w:rsidRPr="006E7003">
              <w:rPr>
                <w:noProof/>
                <w:lang w:eastAsia="da-DK"/>
              </w:rPr>
              <w:t xml:space="preserve">: Given that the communities have numerous other sources of income and are not </w:t>
            </w:r>
            <w:r w:rsidRPr="006E7003">
              <w:rPr>
                <w:noProof/>
                <w:lang w:eastAsia="da-DK"/>
              </w:rPr>
              <w:lastRenderedPageBreak/>
              <w:t xml:space="preserve">relying on agriculture this does not appear to be a substantial </w:t>
            </w:r>
            <w:r>
              <w:rPr>
                <w:noProof/>
                <w:lang w:eastAsia="da-DK"/>
              </w:rPr>
              <w:t>impact</w:t>
            </w:r>
            <w:r w:rsidRPr="006E7003">
              <w:rPr>
                <w:noProof/>
                <w:lang w:eastAsia="da-DK"/>
              </w:rPr>
              <w:t xml:space="preserve"> on their ability to generate a livelihood.</w:t>
            </w:r>
          </w:p>
        </w:tc>
        <w:tc>
          <w:tcPr>
            <w:tcW w:w="1730" w:type="dxa"/>
            <w:shd w:val="clear" w:color="auto" w:fill="D6E3BC"/>
          </w:tcPr>
          <w:p w:rsidR="00700E08" w:rsidRPr="006E7003" w:rsidRDefault="00700E08" w:rsidP="00877474">
            <w:pPr>
              <w:spacing w:before="120" w:after="120" w:line="280" w:lineRule="atLeast"/>
              <w:rPr>
                <w:noProof/>
                <w:lang w:eastAsia="da-DK"/>
              </w:rPr>
            </w:pPr>
            <w:r>
              <w:rPr>
                <w:noProof/>
                <w:lang w:eastAsia="da-DK"/>
              </w:rPr>
              <w:lastRenderedPageBreak/>
              <w:t>B</w:t>
            </w:r>
            <w:r w:rsidRPr="006E7003">
              <w:rPr>
                <w:noProof/>
                <w:lang w:eastAsia="da-DK"/>
              </w:rPr>
              <w:t xml:space="preserve">: Some families are impacted, and there are no indications that these people are </w:t>
            </w:r>
            <w:r w:rsidRPr="006E7003">
              <w:rPr>
                <w:noProof/>
                <w:lang w:eastAsia="da-DK"/>
              </w:rPr>
              <w:lastRenderedPageBreak/>
              <w:t>more or less vulnerable than others in the community.</w:t>
            </w:r>
          </w:p>
        </w:tc>
        <w:tc>
          <w:tcPr>
            <w:tcW w:w="1940" w:type="dxa"/>
            <w:shd w:val="clear" w:color="auto" w:fill="D6E3BC"/>
          </w:tcPr>
          <w:p w:rsidR="00700E08" w:rsidRPr="006E7003" w:rsidRDefault="00700E08" w:rsidP="00877474">
            <w:pPr>
              <w:spacing w:before="120" w:after="120" w:line="280" w:lineRule="atLeast"/>
              <w:rPr>
                <w:noProof/>
                <w:lang w:eastAsia="da-DK"/>
              </w:rPr>
            </w:pPr>
            <w:r>
              <w:rPr>
                <w:noProof/>
                <w:lang w:eastAsia="da-DK"/>
              </w:rPr>
              <w:lastRenderedPageBreak/>
              <w:t>C</w:t>
            </w:r>
            <w:r w:rsidRPr="006E7003">
              <w:rPr>
                <w:noProof/>
                <w:lang w:eastAsia="da-DK"/>
              </w:rPr>
              <w:t>: The impact is remediable</w:t>
            </w:r>
            <w:r>
              <w:rPr>
                <w:noProof/>
                <w:lang w:eastAsia="da-DK"/>
              </w:rPr>
              <w:t xml:space="preserve"> if o</w:t>
            </w:r>
            <w:r>
              <w:t xml:space="preserve">ther plots for agriculture could be found, people can be granted access to land by the </w:t>
            </w:r>
            <w:r>
              <w:lastRenderedPageBreak/>
              <w:t>company to grow crops, or compensation for loss of additional income can be provided.</w:t>
            </w:r>
            <w:r>
              <w:rPr>
                <w:rStyle w:val="CommentReference"/>
              </w:rPr>
              <w:t xml:space="preserve"> </w:t>
            </w:r>
          </w:p>
        </w:tc>
        <w:tc>
          <w:tcPr>
            <w:tcW w:w="1588" w:type="dxa"/>
            <w:shd w:val="clear" w:color="auto" w:fill="D6E3BC"/>
          </w:tcPr>
          <w:p w:rsidR="00700E08" w:rsidRPr="006E7003" w:rsidRDefault="00700E08" w:rsidP="00877474">
            <w:pPr>
              <w:spacing w:before="120" w:after="120" w:line="280" w:lineRule="atLeast"/>
              <w:rPr>
                <w:noProof/>
                <w:lang w:eastAsia="da-DK"/>
              </w:rPr>
            </w:pPr>
            <w:r w:rsidRPr="006E7003">
              <w:rPr>
                <w:noProof/>
                <w:lang w:eastAsia="da-DK"/>
              </w:rPr>
              <w:lastRenderedPageBreak/>
              <w:t xml:space="preserve">In this particular context, this impact on land used for agricultural purposes </w:t>
            </w:r>
            <w:r w:rsidRPr="006E7003">
              <w:rPr>
                <w:noProof/>
                <w:lang w:eastAsia="da-DK"/>
              </w:rPr>
              <w:lastRenderedPageBreak/>
              <w:t>might be considered an impact of low severity.</w:t>
            </w:r>
          </w:p>
        </w:tc>
      </w:tr>
    </w:tbl>
    <w:p w:rsidR="0060352F" w:rsidRDefault="0060352F" w:rsidP="0060352F">
      <w:pPr>
        <w:rPr>
          <w:sz w:val="4"/>
          <w:szCs w:val="4"/>
        </w:rPr>
      </w:pPr>
    </w:p>
    <w:p w:rsidR="00D061E1" w:rsidRDefault="00D061E1" w:rsidP="0060352F">
      <w:pPr>
        <w:rPr>
          <w:sz w:val="4"/>
          <w:szCs w:val="4"/>
        </w:rPr>
      </w:pPr>
    </w:p>
    <w:p w:rsidR="00D061E1" w:rsidRDefault="00D061E1" w:rsidP="0060352F">
      <w:pPr>
        <w:rPr>
          <w:sz w:val="4"/>
          <w:szCs w:val="4"/>
        </w:rPr>
      </w:pPr>
    </w:p>
    <w:p w:rsidR="00D061E1" w:rsidRDefault="00D061E1" w:rsidP="0060352F">
      <w:pPr>
        <w:rPr>
          <w:sz w:val="4"/>
          <w:szCs w:val="4"/>
        </w:rPr>
      </w:pPr>
    </w:p>
    <w:p w:rsidR="00D061E1" w:rsidRDefault="00D061E1" w:rsidP="0060352F">
      <w:pPr>
        <w:rPr>
          <w:sz w:val="4"/>
          <w:szCs w:val="4"/>
        </w:rPr>
      </w:pPr>
    </w:p>
    <w:p w:rsidR="00A72AEF" w:rsidRDefault="00A72AEF" w:rsidP="00AF2231">
      <w:pPr>
        <w:rPr>
          <w:sz w:val="4"/>
          <w:szCs w:val="4"/>
        </w:rPr>
      </w:pPr>
    </w:p>
    <w:p w:rsidR="00A72AEF" w:rsidRDefault="00A72AEF" w:rsidP="00A72AEF">
      <w:pPr>
        <w:rPr>
          <w:sz w:val="4"/>
          <w:szCs w:val="4"/>
        </w:rPr>
      </w:pPr>
    </w:p>
    <w:p w:rsidR="00D06572" w:rsidRPr="00A72AEF" w:rsidRDefault="00D06572" w:rsidP="00A72AEF">
      <w:pPr>
        <w:jc w:val="center"/>
        <w:rPr>
          <w:sz w:val="4"/>
          <w:szCs w:val="4"/>
        </w:rPr>
      </w:pPr>
    </w:p>
    <w:sectPr w:rsidR="00D06572" w:rsidRPr="00A72AEF" w:rsidSect="00DE0F12">
      <w:headerReference w:type="even" r:id="rId17"/>
      <w:headerReference w:type="default" r:id="rId18"/>
      <w:footerReference w:type="even" r:id="rId19"/>
      <w:footerReference w:type="default" r:id="rId20"/>
      <w:headerReference w:type="first" r:id="rId21"/>
      <w:endnotePr>
        <w:numFmt w:val="decimal"/>
      </w:endnotePr>
      <w:pgSz w:w="11906" w:h="16838" w:code="9"/>
      <w:pgMar w:top="2461" w:right="1985" w:bottom="1814" w:left="1985" w:header="686" w:footer="663"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AB7" w:rsidRPr="00D06572" w:rsidRDefault="00105AB7" w:rsidP="00AF2231">
      <w:pPr>
        <w:pStyle w:val="Footer"/>
        <w:spacing w:line="240" w:lineRule="auto"/>
        <w:rPr>
          <w:sz w:val="24"/>
        </w:rPr>
      </w:pPr>
    </w:p>
  </w:endnote>
  <w:endnote w:type="continuationSeparator" w:id="0">
    <w:p w:rsidR="00105AB7" w:rsidRPr="00D06572" w:rsidRDefault="00105AB7" w:rsidP="00AF2231">
      <w:pPr>
        <w:pStyle w:val="Footer"/>
        <w:spacing w:line="240" w:lineRule="auto"/>
        <w:rPr>
          <w:sz w:val="24"/>
        </w:rPr>
      </w:pPr>
    </w:p>
  </w:endnote>
  <w:endnote w:type="continuationNotice" w:id="1">
    <w:p w:rsidR="00105AB7" w:rsidRDefault="00105A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Pro-Light">
    <w:panose1 w:val="00000000000000000000"/>
    <w:charset w:val="00"/>
    <w:family w:val="auto"/>
    <w:notTrueType/>
    <w:pitch w:val="default"/>
    <w:sig w:usb0="00000003" w:usb1="00000000" w:usb2="00000000" w:usb3="00000000" w:csb0="00000001" w:csb1="00000000"/>
  </w:font>
  <w:font w:name="MyriadPro-Sem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259107"/>
      <w:docPartObj>
        <w:docPartGallery w:val="Page Numbers (Bottom of Page)"/>
        <w:docPartUnique/>
      </w:docPartObj>
    </w:sdtPr>
    <w:sdtEndPr>
      <w:rPr>
        <w:b/>
        <w:bCs/>
        <w:noProof/>
        <w:sz w:val="24"/>
      </w:rPr>
    </w:sdtEndPr>
    <w:sdtContent>
      <w:p w:rsidR="001A4A24" w:rsidRPr="00B92DED" w:rsidRDefault="001A4A24">
        <w:pPr>
          <w:pStyle w:val="Footer"/>
          <w:jc w:val="right"/>
          <w:rPr>
            <w:b/>
            <w:bCs/>
            <w:sz w:val="24"/>
          </w:rPr>
        </w:pPr>
        <w:r w:rsidRPr="00B92DED">
          <w:rPr>
            <w:b/>
            <w:bCs/>
            <w:sz w:val="24"/>
          </w:rPr>
          <w:fldChar w:fldCharType="begin"/>
        </w:r>
        <w:r w:rsidRPr="00B92DED">
          <w:rPr>
            <w:b/>
            <w:bCs/>
            <w:sz w:val="24"/>
          </w:rPr>
          <w:instrText xml:space="preserve"> PAGE   \* MERGEFORMAT </w:instrText>
        </w:r>
        <w:r w:rsidRPr="00B92DED">
          <w:rPr>
            <w:b/>
            <w:bCs/>
            <w:sz w:val="24"/>
          </w:rPr>
          <w:fldChar w:fldCharType="separate"/>
        </w:r>
        <w:r w:rsidRPr="00B92DED">
          <w:rPr>
            <w:b/>
            <w:bCs/>
            <w:noProof/>
            <w:sz w:val="24"/>
          </w:rPr>
          <w:t>2</w:t>
        </w:r>
        <w:r w:rsidRPr="00B92DED">
          <w:rPr>
            <w:b/>
            <w:bCs/>
            <w:noProof/>
            <w:sz w:val="24"/>
          </w:rPr>
          <w:fldChar w:fldCharType="end"/>
        </w:r>
      </w:p>
    </w:sdtContent>
  </w:sdt>
  <w:p w:rsidR="001A4A24" w:rsidRDefault="001A4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AA5" w:rsidRPr="00B35E89" w:rsidRDefault="00523AA5" w:rsidP="00523AA5">
    <w:pPr>
      <w:pStyle w:val="Footer"/>
      <w:tabs>
        <w:tab w:val="clear" w:pos="4819"/>
        <w:tab w:val="clear" w:pos="9638"/>
        <w:tab w:val="right" w:pos="7938"/>
      </w:tabs>
      <w:jc w:val="right"/>
      <w:rPr>
        <w:rStyle w:val="PageNumber"/>
      </w:rPr>
    </w:pPr>
    <w:r w:rsidRPr="00B35E89">
      <w:rPr>
        <w:rStyle w:val="PageNumber"/>
      </w:rPr>
      <w:fldChar w:fldCharType="begin"/>
    </w:r>
    <w:r w:rsidRPr="00B35E89">
      <w:rPr>
        <w:rStyle w:val="PageNumber"/>
      </w:rPr>
      <w:instrText xml:space="preserve"> PAGE </w:instrText>
    </w:r>
    <w:r w:rsidRPr="00B35E89">
      <w:rPr>
        <w:rStyle w:val="PageNumber"/>
      </w:rPr>
      <w:fldChar w:fldCharType="separate"/>
    </w:r>
    <w:r>
      <w:rPr>
        <w:rStyle w:val="PageNumber"/>
      </w:rPr>
      <w:t>3</w:t>
    </w:r>
    <w:r w:rsidRPr="00B35E89">
      <w:rPr>
        <w:rStyle w:val="PageNumber"/>
      </w:rPr>
      <w:fldChar w:fldCharType="end"/>
    </w:r>
  </w:p>
  <w:p w:rsidR="00523AA5" w:rsidRDefault="00523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194500"/>
      <w:docPartObj>
        <w:docPartGallery w:val="Page Numbers (Bottom of Page)"/>
        <w:docPartUnique/>
      </w:docPartObj>
    </w:sdtPr>
    <w:sdtEndPr>
      <w:rPr>
        <w:b/>
        <w:bCs/>
        <w:noProof/>
        <w:sz w:val="24"/>
      </w:rPr>
    </w:sdtEndPr>
    <w:sdtContent>
      <w:p w:rsidR="001A4A24" w:rsidRPr="00B92DED" w:rsidRDefault="001A4A24">
        <w:pPr>
          <w:pStyle w:val="Footer"/>
          <w:jc w:val="right"/>
          <w:rPr>
            <w:b/>
            <w:bCs/>
            <w:sz w:val="24"/>
          </w:rPr>
        </w:pPr>
        <w:r w:rsidRPr="00B92DED">
          <w:rPr>
            <w:b/>
            <w:bCs/>
            <w:sz w:val="24"/>
          </w:rPr>
          <w:fldChar w:fldCharType="begin"/>
        </w:r>
        <w:r w:rsidRPr="00B92DED">
          <w:rPr>
            <w:b/>
            <w:bCs/>
            <w:sz w:val="24"/>
          </w:rPr>
          <w:instrText xml:space="preserve"> PAGE   \* MERGEFORMAT </w:instrText>
        </w:r>
        <w:r w:rsidRPr="00B92DED">
          <w:rPr>
            <w:b/>
            <w:bCs/>
            <w:sz w:val="24"/>
          </w:rPr>
          <w:fldChar w:fldCharType="separate"/>
        </w:r>
        <w:r w:rsidRPr="00B92DED">
          <w:rPr>
            <w:b/>
            <w:bCs/>
            <w:noProof/>
            <w:sz w:val="24"/>
          </w:rPr>
          <w:t>2</w:t>
        </w:r>
        <w:r w:rsidRPr="00B92DED">
          <w:rPr>
            <w:b/>
            <w:bCs/>
            <w:noProof/>
            <w:sz w:val="24"/>
          </w:rPr>
          <w:fldChar w:fldCharType="end"/>
        </w:r>
      </w:p>
    </w:sdtContent>
  </w:sdt>
  <w:p w:rsidR="00C24601" w:rsidRDefault="00C246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C79" w:rsidRPr="00D061E1" w:rsidRDefault="00D061E1" w:rsidP="00D061E1">
    <w:pPr>
      <w:pStyle w:val="Footer"/>
      <w:tabs>
        <w:tab w:val="clear" w:pos="4819"/>
        <w:tab w:val="clear" w:pos="9638"/>
        <w:tab w:val="right" w:pos="7938"/>
      </w:tabs>
      <w:jc w:val="right"/>
      <w:rPr>
        <w:b/>
        <w:sz w:val="24"/>
      </w:rPr>
    </w:pPr>
    <w:r w:rsidRPr="00B35E89">
      <w:rPr>
        <w:rStyle w:val="PageNumber"/>
      </w:rPr>
      <w:fldChar w:fldCharType="begin"/>
    </w:r>
    <w:r w:rsidRPr="00B35E89">
      <w:rPr>
        <w:rStyle w:val="PageNumber"/>
      </w:rPr>
      <w:instrText xml:space="preserve"> PAGE </w:instrText>
    </w:r>
    <w:r w:rsidRPr="00B35E89">
      <w:rPr>
        <w:rStyle w:val="PageNumber"/>
      </w:rPr>
      <w:fldChar w:fldCharType="separate"/>
    </w:r>
    <w:r>
      <w:rPr>
        <w:rStyle w:val="PageNumber"/>
      </w:rPr>
      <w:t>9</w:t>
    </w:r>
    <w:r w:rsidRPr="00B35E89">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C79" w:rsidRPr="00B35E89" w:rsidRDefault="004C6C79" w:rsidP="00CA7BE2">
    <w:pPr>
      <w:pStyle w:val="Footer"/>
      <w:tabs>
        <w:tab w:val="clear" w:pos="4819"/>
        <w:tab w:val="clear" w:pos="9638"/>
        <w:tab w:val="right" w:pos="7938"/>
      </w:tabs>
      <w:jc w:val="right"/>
      <w:rPr>
        <w:rStyle w:val="PageNumber"/>
      </w:rPr>
    </w:pPr>
    <w:r w:rsidRPr="00B35E89">
      <w:rPr>
        <w:rStyle w:val="PageNumber"/>
      </w:rPr>
      <w:fldChar w:fldCharType="begin"/>
    </w:r>
    <w:r w:rsidRPr="00B35E89">
      <w:rPr>
        <w:rStyle w:val="PageNumber"/>
      </w:rPr>
      <w:instrText xml:space="preserve"> PAGE </w:instrText>
    </w:r>
    <w:r w:rsidRPr="00B35E89">
      <w:rPr>
        <w:rStyle w:val="PageNumber"/>
      </w:rPr>
      <w:fldChar w:fldCharType="separate"/>
    </w:r>
    <w:r w:rsidR="002E24EA">
      <w:rPr>
        <w:rStyle w:val="PageNumber"/>
        <w:noProof/>
      </w:rPr>
      <w:t>9</w:t>
    </w:r>
    <w:r w:rsidRPr="00B35E8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AB7" w:rsidRDefault="00105AB7" w:rsidP="000F70B6">
      <w:pPr>
        <w:spacing w:line="240" w:lineRule="auto"/>
      </w:pPr>
      <w:r>
        <w:separator/>
      </w:r>
    </w:p>
  </w:footnote>
  <w:footnote w:type="continuationSeparator" w:id="0">
    <w:p w:rsidR="00105AB7" w:rsidRDefault="00105AB7" w:rsidP="000F70B6">
      <w:pPr>
        <w:spacing w:line="240" w:lineRule="auto"/>
      </w:pPr>
      <w:r>
        <w:continuationSeparator/>
      </w:r>
    </w:p>
  </w:footnote>
  <w:footnote w:id="1">
    <w:p w:rsidR="00700E08" w:rsidRPr="00EA3595" w:rsidRDefault="00700E08" w:rsidP="00700E08">
      <w:pPr>
        <w:pStyle w:val="FootnoteText"/>
        <w:rPr>
          <w:sz w:val="20"/>
          <w:lang w:val="en-US"/>
        </w:rPr>
      </w:pPr>
      <w:r w:rsidRPr="00EA3595">
        <w:rPr>
          <w:rStyle w:val="FootnoteReference"/>
          <w:sz w:val="20"/>
        </w:rPr>
        <w:footnoteRef/>
      </w:r>
      <w:r w:rsidRPr="00EA3595">
        <w:rPr>
          <w:sz w:val="20"/>
        </w:rPr>
        <w:t xml:space="preserve"> </w:t>
      </w:r>
      <w:r w:rsidRPr="00EA3595">
        <w:rPr>
          <w:sz w:val="20"/>
          <w:lang w:val="en-US"/>
        </w:rPr>
        <w:t>See, e.g.</w:t>
      </w:r>
      <w:r>
        <w:rPr>
          <w:sz w:val="20"/>
          <w:lang w:val="en-US"/>
        </w:rPr>
        <w:t>,</w:t>
      </w:r>
      <w:r w:rsidRPr="00EA3595">
        <w:rPr>
          <w:sz w:val="20"/>
          <w:lang w:val="en-US"/>
        </w:rPr>
        <w:t xml:space="preserve"> </w:t>
      </w:r>
      <w:r w:rsidRPr="00EA3595">
        <w:rPr>
          <w:i/>
          <w:sz w:val="20"/>
          <w:lang w:val="en-US"/>
        </w:rPr>
        <w:t xml:space="preserve">Thlimmenos v Greece </w:t>
      </w:r>
      <w:r w:rsidRPr="00EA3595">
        <w:rPr>
          <w:sz w:val="20"/>
          <w:lang w:val="en-US"/>
        </w:rPr>
        <w:t>(2000) 9 BHRC 12.</w:t>
      </w:r>
    </w:p>
  </w:footnote>
  <w:footnote w:id="2">
    <w:p w:rsidR="00700E08" w:rsidRPr="003B62C8" w:rsidRDefault="00700E08" w:rsidP="00700E08">
      <w:pPr>
        <w:pStyle w:val="FootnoteText"/>
        <w:rPr>
          <w:sz w:val="20"/>
        </w:rPr>
      </w:pPr>
      <w:r w:rsidRPr="003B62C8">
        <w:rPr>
          <w:rStyle w:val="FootnoteReference"/>
          <w:sz w:val="20"/>
        </w:rPr>
        <w:footnoteRef/>
      </w:r>
      <w:r w:rsidRPr="003B62C8">
        <w:rPr>
          <w:sz w:val="20"/>
        </w:rPr>
        <w:t xml:space="preserve"> UN Guiding Principle 23</w:t>
      </w:r>
      <w:r>
        <w:rPr>
          <w:sz w:val="20"/>
        </w:rPr>
        <w:t>.</w:t>
      </w:r>
    </w:p>
  </w:footnote>
  <w:footnote w:id="3">
    <w:p w:rsidR="00700E08" w:rsidRPr="003B62C8" w:rsidRDefault="00700E08" w:rsidP="00700E08">
      <w:pPr>
        <w:pStyle w:val="FootnoteText"/>
        <w:rPr>
          <w:sz w:val="20"/>
        </w:rPr>
      </w:pPr>
      <w:r w:rsidRPr="003B62C8">
        <w:rPr>
          <w:rStyle w:val="FootnoteReference"/>
          <w:sz w:val="20"/>
        </w:rPr>
        <w:footnoteRef/>
      </w:r>
      <w:r w:rsidRPr="003B62C8">
        <w:rPr>
          <w:sz w:val="20"/>
        </w:rPr>
        <w:t xml:space="preserve"> UN Guiding Principle 13</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8F7" w:rsidRDefault="00497464" w:rsidP="009748F7">
    <w:r>
      <w:rPr>
        <w:noProof/>
      </w:rPr>
      <w:drawing>
        <wp:anchor distT="0" distB="0" distL="114300" distR="114300" simplePos="0" relativeHeight="251663360" behindDoc="1" locked="0" layoutInCell="1" allowOverlap="1">
          <wp:simplePos x="0" y="0"/>
          <wp:positionH relativeFrom="page">
            <wp:align>left</wp:align>
          </wp:positionH>
          <wp:positionV relativeFrom="paragraph">
            <wp:posOffset>-434975</wp:posOffset>
          </wp:positionV>
          <wp:extent cx="7635240" cy="11407641"/>
          <wp:effectExtent l="0" t="0" r="3810" b="3810"/>
          <wp:wrapNone/>
          <wp:docPr id="1" name="Picture 1" descr="Picture showing a sewing factory in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ase3.jpg"/>
                  <pic:cNvPicPr/>
                </pic:nvPicPr>
                <pic:blipFill>
                  <a:blip r:embed="rId1">
                    <a:extLst>
                      <a:ext uri="{28A0092B-C50C-407E-A947-70E740481C1C}">
                        <a14:useLocalDpi xmlns:a14="http://schemas.microsoft.com/office/drawing/2010/main" val="0"/>
                      </a:ext>
                    </a:extLst>
                  </a:blip>
                  <a:stretch>
                    <a:fillRect/>
                  </a:stretch>
                </pic:blipFill>
                <pic:spPr>
                  <a:xfrm>
                    <a:off x="0" y="0"/>
                    <a:ext cx="7635240" cy="11407641"/>
                  </a:xfrm>
                  <a:prstGeom prst="rect">
                    <a:avLst/>
                  </a:prstGeom>
                </pic:spPr>
              </pic:pic>
            </a:graphicData>
          </a:graphic>
          <wp14:sizeRelH relativeFrom="page">
            <wp14:pctWidth>0</wp14:pctWidth>
          </wp14:sizeRelH>
          <wp14:sizeRelV relativeFrom="page">
            <wp14:pctHeight>0</wp14:pctHeight>
          </wp14:sizeRelV>
        </wp:anchor>
      </w:drawing>
    </w:r>
  </w:p>
  <w:p w:rsidR="009748F7" w:rsidRDefault="000D3246" w:rsidP="009748F7">
    <w:r>
      <w:rPr>
        <w:noProof/>
      </w:rPr>
      <mc:AlternateContent>
        <mc:Choice Requires="wps">
          <w:drawing>
            <wp:anchor distT="0" distB="0" distL="114300" distR="114300" simplePos="0" relativeHeight="251659264" behindDoc="1" locked="0" layoutInCell="1" allowOverlap="1" wp14:anchorId="3E55CA76" wp14:editId="4ED19203">
              <wp:simplePos x="0" y="0"/>
              <wp:positionH relativeFrom="page">
                <wp:posOffset>0</wp:posOffset>
              </wp:positionH>
              <wp:positionV relativeFrom="page">
                <wp:posOffset>0</wp:posOffset>
              </wp:positionV>
              <wp:extent cx="7560000" cy="13426367"/>
              <wp:effectExtent l="0" t="0" r="0" b="0"/>
              <wp:wrapNone/>
              <wp:docPr id="7" name="FrontPage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134263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D285A" id="FrontPagePicture" o:spid="_x0000_s1026" style="position:absolute;margin-left:0;margin-top:0;width:595.3pt;height:105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" filled="f" stroked="f" strokeweight="2pt">
              <o:lock v:ext="edit" aspectratio="t"/>
              <w10:wrap anchorx="page" anchory="page"/>
            </v:rect>
          </w:pict>
        </mc:Fallback>
      </mc:AlternateContent>
    </w:r>
  </w:p>
  <w:p w:rsidR="009748F7" w:rsidRDefault="009748F7" w:rsidP="009748F7"/>
  <w:p w:rsidR="009748F7" w:rsidRDefault="009748F7" w:rsidP="009748F7">
    <w:pPr>
      <w:pStyle w:val="Header"/>
    </w:pPr>
  </w:p>
  <w:p w:rsidR="009748F7" w:rsidRPr="00457FEB" w:rsidRDefault="009748F7" w:rsidP="009748F7">
    <w:pPr>
      <w:pStyle w:val="Header"/>
    </w:pPr>
  </w:p>
  <w:p w:rsidR="009748F7" w:rsidRDefault="009748F7">
    <w:pPr>
      <w:pStyle w:val="Header"/>
    </w:pPr>
    <w:r>
      <w:rPr>
        <w:noProof/>
      </w:rPr>
      <w:drawing>
        <wp:anchor distT="0" distB="0" distL="0" distR="0" simplePos="0" relativeHeight="251660288" behindDoc="0" locked="0" layoutInCell="1" allowOverlap="1">
          <wp:simplePos x="0" y="0"/>
          <wp:positionH relativeFrom="page">
            <wp:posOffset>720000</wp:posOffset>
          </wp:positionH>
          <wp:positionV relativeFrom="page">
            <wp:posOffset>0</wp:posOffset>
          </wp:positionV>
          <wp:extent cx="2880000" cy="1439999"/>
          <wp:effectExtent l="0" t="0" r="0" b="0"/>
          <wp:wrapNone/>
          <wp:docPr id="693795676" name="LogoFirst_Hide"/>
          <wp:cNvGraphicFramePr/>
          <a:graphic xmlns:a="http://schemas.openxmlformats.org/drawingml/2006/main">
            <a:graphicData uri="http://schemas.openxmlformats.org/drawingml/2006/picture">
              <pic:pic xmlns:pic="http://schemas.openxmlformats.org/drawingml/2006/picture">
                <pic:nvPicPr>
                  <pic:cNvPr id="693795676" name="LogoFirst_Hide"/>
                  <pic:cNvPicPr/>
                </pic:nvPicPr>
                <pic:blipFill>
                  <a:blip r:embed="rId2"/>
                  <a:srcRect/>
                  <a:stretch/>
                </pic:blipFill>
                <pic:spPr>
                  <a:xfrm>
                    <a:off x="0" y="0"/>
                    <a:ext cx="2880000" cy="143999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C79" w:rsidRDefault="004C6C79" w:rsidP="00DF6EF2"/>
  <w:p w:rsidR="004C6C79" w:rsidRDefault="004C6C79" w:rsidP="00DF6EF2"/>
  <w:p w:rsidR="004C6C79" w:rsidRDefault="004C6C79" w:rsidP="00DF6EF2"/>
  <w:p w:rsidR="004C6C79" w:rsidRDefault="004C6C79" w:rsidP="00DF6EF2">
    <w:pPr>
      <w:pStyle w:val="Header"/>
    </w:pPr>
  </w:p>
  <w:p w:rsidR="004C6C79" w:rsidRPr="00DF6EF2" w:rsidRDefault="004C6C79" w:rsidP="00DF6E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C79" w:rsidRDefault="004C6C79" w:rsidP="00CA7BE2">
    <w:pPr>
      <w:pStyle w:val="Header"/>
      <w:tabs>
        <w:tab w:val="clear" w:pos="4819"/>
        <w:tab w:val="clear" w:pos="9638"/>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120" w:rsidRDefault="00D87120">
    <w:pPr>
      <w:pStyle w:val="Header"/>
    </w:pPr>
  </w:p>
  <w:p w:rsidR="004C6C79" w:rsidRDefault="000D3246">
    <w:pPr>
      <w:pStyle w:val="Header"/>
    </w:pPr>
    <w:r>
      <w:rPr>
        <w:noProof/>
      </w:rPr>
      <mc:AlternateContent>
        <mc:Choice Requires="wps">
          <w:drawing>
            <wp:anchor distT="0" distB="0" distL="114300" distR="114300" simplePos="0" relativeHeight="251661312" behindDoc="1" locked="0" layoutInCell="1" allowOverlap="1" wp14:anchorId="683D96EF" wp14:editId="2F6BBF7C">
              <wp:simplePos x="0" y="0"/>
              <wp:positionH relativeFrom="page">
                <wp:posOffset>0</wp:posOffset>
              </wp:positionH>
              <wp:positionV relativeFrom="page">
                <wp:posOffset>0</wp:posOffset>
              </wp:positionV>
              <wp:extent cx="7560000" cy="13426367"/>
              <wp:effectExtent l="0" t="0" r="0" b="0"/>
              <wp:wrapNone/>
              <wp:docPr id="9" name="BackPage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134263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4D82E" id="BackPagePicture" o:spid="_x0000_s1026" style="position:absolute;margin-left:0;margin-top:0;width:595.3pt;height:1057.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" filled="f" stroked="f" strokeweight="2pt">
              <o:lock v:ext="edit" aspectratio="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467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EA6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FA7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540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360A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4252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1CA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60F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DA58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609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E2013"/>
    <w:multiLevelType w:val="hybridMultilevel"/>
    <w:tmpl w:val="863AFA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14B347F0"/>
    <w:multiLevelType w:val="singleLevel"/>
    <w:tmpl w:val="14EC2950"/>
    <w:lvl w:ilvl="0">
      <w:start w:val="1"/>
      <w:numFmt w:val="decimal"/>
      <w:lvlRestart w:val="0"/>
      <w:lvlText w:val="%1."/>
      <w:lvlJc w:val="left"/>
      <w:pPr>
        <w:tabs>
          <w:tab w:val="num" w:pos="360"/>
        </w:tabs>
        <w:ind w:left="360" w:hanging="360"/>
      </w:pPr>
    </w:lvl>
  </w:abstractNum>
  <w:abstractNum w:abstractNumId="12" w15:restartNumberingAfterBreak="0">
    <w:nsid w:val="1B8D2DB8"/>
    <w:multiLevelType w:val="multilevel"/>
    <w:tmpl w:val="A126C36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7B4C8D"/>
    <w:multiLevelType w:val="multilevel"/>
    <w:tmpl w:val="295C021C"/>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Wingdings" w:hAnsi="Wingdings" w:hint="default"/>
      </w:rPr>
    </w:lvl>
    <w:lvl w:ilvl="8">
      <w:start w:val="1"/>
      <w:numFmt w:val="bullet"/>
      <w:lvlText w:val=""/>
      <w:lvlJc w:val="left"/>
      <w:pPr>
        <w:ind w:left="2043" w:hanging="227"/>
      </w:pPr>
      <w:rPr>
        <w:rFonts w:ascii="Wingdings" w:hAnsi="Wingdings" w:hint="default"/>
      </w:rPr>
    </w:lvl>
  </w:abstractNum>
  <w:abstractNum w:abstractNumId="14" w15:restartNumberingAfterBreak="0">
    <w:nsid w:val="28003F1F"/>
    <w:multiLevelType w:val="multilevel"/>
    <w:tmpl w:val="7FCE9AF8"/>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1021" w:hanging="1021"/>
      </w:pPr>
      <w:rPr>
        <w:rFonts w:hint="default"/>
      </w:rPr>
    </w:lvl>
    <w:lvl w:ilvl="5">
      <w:start w:val="1"/>
      <w:numFmt w:val="decimal"/>
      <w:pStyle w:val="Heading6"/>
      <w:lvlText w:val="%1.%2.%3.%4.%5.%6"/>
      <w:lvlJc w:val="left"/>
      <w:pPr>
        <w:ind w:left="1134" w:hanging="1134"/>
      </w:pPr>
      <w:rPr>
        <w:rFonts w:hint="default"/>
      </w:rPr>
    </w:lvl>
    <w:lvl w:ilvl="6">
      <w:start w:val="1"/>
      <w:numFmt w:val="decimal"/>
      <w:pStyle w:val="Heading7"/>
      <w:lvlText w:val="%1.%2.%3.%4.%5.%6.%7"/>
      <w:lvlJc w:val="left"/>
      <w:pPr>
        <w:ind w:left="1304" w:hanging="1304"/>
      </w:pPr>
      <w:rPr>
        <w:rFonts w:hint="default"/>
      </w:rPr>
    </w:lvl>
    <w:lvl w:ilvl="7">
      <w:start w:val="1"/>
      <w:numFmt w:val="decimal"/>
      <w:pStyle w:val="Heading8"/>
      <w:lvlText w:val="%1.%2.%3.%4.%5.%6.%7.%8"/>
      <w:lvlJc w:val="left"/>
      <w:pPr>
        <w:ind w:left="1474" w:hanging="1474"/>
      </w:pPr>
      <w:rPr>
        <w:rFonts w:hint="default"/>
      </w:rPr>
    </w:lvl>
    <w:lvl w:ilvl="8">
      <w:start w:val="1"/>
      <w:numFmt w:val="decimal"/>
      <w:pStyle w:val="Heading9"/>
      <w:lvlText w:val="%1.%2.%3.%4.%5.%6.%7.%8.%9"/>
      <w:lvlJc w:val="left"/>
      <w:pPr>
        <w:ind w:left="1588" w:hanging="1588"/>
      </w:pPr>
      <w:rPr>
        <w:rFonts w:hint="default"/>
      </w:rPr>
    </w:lvl>
  </w:abstractNum>
  <w:abstractNum w:abstractNumId="15" w15:restartNumberingAfterBreak="0">
    <w:nsid w:val="2C881B02"/>
    <w:multiLevelType w:val="multilevel"/>
    <w:tmpl w:val="E6000C1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2CD2F54"/>
    <w:multiLevelType w:val="singleLevel"/>
    <w:tmpl w:val="F34091B2"/>
    <w:lvl w:ilvl="0">
      <w:start w:val="1"/>
      <w:numFmt w:val="decimal"/>
      <w:lvlRestart w:val="0"/>
      <w:lvlText w:val="%1."/>
      <w:lvlJc w:val="left"/>
      <w:pPr>
        <w:tabs>
          <w:tab w:val="num" w:pos="360"/>
        </w:tabs>
        <w:ind w:left="360" w:hanging="360"/>
      </w:pPr>
      <w:rPr>
        <w:rFonts w:hint="default"/>
        <w:b/>
        <w:i w:val="0"/>
      </w:rPr>
    </w:lvl>
  </w:abstractNum>
  <w:abstractNum w:abstractNumId="17" w15:restartNumberingAfterBreak="0">
    <w:nsid w:val="33D81ABD"/>
    <w:multiLevelType w:val="multilevel"/>
    <w:tmpl w:val="807EC8B8"/>
    <w:lvl w:ilvl="0">
      <w:start w:val="1"/>
      <w:numFmt w:val="decimal"/>
      <w:pStyle w:val="ListNumber"/>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1985" w:hanging="567"/>
      </w:pPr>
      <w:rPr>
        <w:rFonts w:hint="default"/>
      </w:rPr>
    </w:lvl>
    <w:lvl w:ilvl="4">
      <w:start w:val="1"/>
      <w:numFmt w:val="decimal"/>
      <w:lvlText w:val="%1.%2.%3.%4.%5."/>
      <w:lvlJc w:val="left"/>
      <w:pPr>
        <w:ind w:left="2268" w:hanging="850"/>
      </w:pPr>
      <w:rPr>
        <w:rFonts w:hint="default"/>
      </w:rPr>
    </w:lvl>
    <w:lvl w:ilvl="5">
      <w:start w:val="1"/>
      <w:numFmt w:val="decimal"/>
      <w:lvlText w:val="%1.%2.%3.%4.%5.%6."/>
      <w:lvlJc w:val="left"/>
      <w:pPr>
        <w:ind w:left="2268" w:hanging="850"/>
      </w:pPr>
      <w:rPr>
        <w:rFonts w:hint="default"/>
      </w:rPr>
    </w:lvl>
    <w:lvl w:ilvl="6">
      <w:start w:val="1"/>
      <w:numFmt w:val="decimal"/>
      <w:lvlText w:val="%1.%2.%3.%4.%5.%6.%7."/>
      <w:lvlJc w:val="left"/>
      <w:pPr>
        <w:ind w:left="2552" w:hanging="1134"/>
      </w:pPr>
      <w:rPr>
        <w:rFonts w:hint="default"/>
      </w:rPr>
    </w:lvl>
    <w:lvl w:ilvl="7">
      <w:start w:val="1"/>
      <w:numFmt w:val="decimal"/>
      <w:lvlText w:val="%1.%2.%3.%4.%5.%6.%7.%8."/>
      <w:lvlJc w:val="left"/>
      <w:pPr>
        <w:ind w:left="2835" w:hanging="1417"/>
      </w:pPr>
      <w:rPr>
        <w:rFonts w:hint="default"/>
      </w:rPr>
    </w:lvl>
    <w:lvl w:ilvl="8">
      <w:start w:val="1"/>
      <w:numFmt w:val="decimal"/>
      <w:lvlText w:val="%1.%2.%3.%4.%5.%6.%7.%8.%9."/>
      <w:lvlJc w:val="left"/>
      <w:pPr>
        <w:ind w:left="3119" w:hanging="1701"/>
      </w:pPr>
      <w:rPr>
        <w:rFonts w:hint="default"/>
      </w:rPr>
    </w:lvl>
  </w:abstractNum>
  <w:abstractNum w:abstractNumId="18" w15:restartNumberingAfterBreak="0">
    <w:nsid w:val="351244A6"/>
    <w:multiLevelType w:val="multilevel"/>
    <w:tmpl w:val="857AF97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CD1B6F"/>
    <w:multiLevelType w:val="multilevel"/>
    <w:tmpl w:val="E5B01628"/>
    <w:lvl w:ilvl="0">
      <w:start w:val="1"/>
      <w:numFmt w:val="decimal"/>
      <w:lvlText w:val="%1."/>
      <w:lvlJc w:val="left"/>
      <w:pPr>
        <w:ind w:left="340" w:hanging="34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6D9D74F2"/>
    <w:multiLevelType w:val="hybridMultilevel"/>
    <w:tmpl w:val="72662132"/>
    <w:lvl w:ilvl="0" w:tplc="983A55E4">
      <w:start w:val="1"/>
      <w:numFmt w:val="decimal"/>
      <w:pStyle w:val="AgendaItem"/>
      <w:lvlText w:val="%1."/>
      <w:lvlJc w:val="left"/>
      <w:pPr>
        <w:ind w:left="720" w:hanging="360"/>
      </w:pPr>
      <w:rPr>
        <w:rFonts w:hint="default"/>
        <w:b/>
        <w:i w:val="0"/>
      </w:rPr>
    </w:lvl>
    <w:lvl w:ilvl="1" w:tplc="9912E986" w:tentative="1">
      <w:start w:val="1"/>
      <w:numFmt w:val="lowerLetter"/>
      <w:lvlText w:val="%2."/>
      <w:lvlJc w:val="left"/>
      <w:pPr>
        <w:ind w:left="1440" w:hanging="360"/>
      </w:pPr>
    </w:lvl>
    <w:lvl w:ilvl="2" w:tplc="4AA04600" w:tentative="1">
      <w:start w:val="1"/>
      <w:numFmt w:val="lowerRoman"/>
      <w:lvlText w:val="%3."/>
      <w:lvlJc w:val="right"/>
      <w:pPr>
        <w:ind w:left="2160" w:hanging="180"/>
      </w:pPr>
    </w:lvl>
    <w:lvl w:ilvl="3" w:tplc="F68E5570" w:tentative="1">
      <w:start w:val="1"/>
      <w:numFmt w:val="decimal"/>
      <w:lvlText w:val="%4."/>
      <w:lvlJc w:val="left"/>
      <w:pPr>
        <w:ind w:left="2880" w:hanging="360"/>
      </w:pPr>
    </w:lvl>
    <w:lvl w:ilvl="4" w:tplc="FA346184" w:tentative="1">
      <w:start w:val="1"/>
      <w:numFmt w:val="lowerLetter"/>
      <w:lvlText w:val="%5."/>
      <w:lvlJc w:val="left"/>
      <w:pPr>
        <w:ind w:left="3600" w:hanging="360"/>
      </w:pPr>
    </w:lvl>
    <w:lvl w:ilvl="5" w:tplc="8CDEBB9C" w:tentative="1">
      <w:start w:val="1"/>
      <w:numFmt w:val="lowerRoman"/>
      <w:lvlText w:val="%6."/>
      <w:lvlJc w:val="right"/>
      <w:pPr>
        <w:ind w:left="4320" w:hanging="180"/>
      </w:pPr>
    </w:lvl>
    <w:lvl w:ilvl="6" w:tplc="09CC407C" w:tentative="1">
      <w:start w:val="1"/>
      <w:numFmt w:val="decimal"/>
      <w:lvlText w:val="%7."/>
      <w:lvlJc w:val="left"/>
      <w:pPr>
        <w:ind w:left="5040" w:hanging="360"/>
      </w:pPr>
    </w:lvl>
    <w:lvl w:ilvl="7" w:tplc="3A4ABC94" w:tentative="1">
      <w:start w:val="1"/>
      <w:numFmt w:val="lowerLetter"/>
      <w:lvlText w:val="%8."/>
      <w:lvlJc w:val="left"/>
      <w:pPr>
        <w:ind w:left="5760" w:hanging="360"/>
      </w:pPr>
    </w:lvl>
    <w:lvl w:ilvl="8" w:tplc="178E23FA" w:tentative="1">
      <w:start w:val="1"/>
      <w:numFmt w:val="lowerRoman"/>
      <w:lvlText w:val="%9."/>
      <w:lvlJc w:val="right"/>
      <w:pPr>
        <w:ind w:left="6480" w:hanging="180"/>
      </w:pPr>
    </w:lvl>
  </w:abstractNum>
  <w:abstractNum w:abstractNumId="21" w15:restartNumberingAfterBreak="0">
    <w:nsid w:val="78FD4AA0"/>
    <w:multiLevelType w:val="hybridMultilevel"/>
    <w:tmpl w:val="59C658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7ED0521A"/>
    <w:multiLevelType w:val="hybridMultilevel"/>
    <w:tmpl w:val="E04E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20"/>
  </w:num>
  <w:num w:numId="14">
    <w:abstractNumId w:val="14"/>
  </w:num>
  <w:num w:numId="15">
    <w:abstractNumId w:val="9"/>
  </w:num>
  <w:num w:numId="16">
    <w:abstractNumId w:val="17"/>
  </w:num>
  <w:num w:numId="17">
    <w:abstractNumId w:val="9"/>
  </w:num>
  <w:num w:numId="18">
    <w:abstractNumId w:val="17"/>
  </w:num>
  <w:num w:numId="19">
    <w:abstractNumId w:val="9"/>
  </w:num>
  <w:num w:numId="20">
    <w:abstractNumId w:val="17"/>
  </w:num>
  <w:num w:numId="21">
    <w:abstractNumId w:val="14"/>
  </w:num>
  <w:num w:numId="22">
    <w:abstractNumId w:val="10"/>
  </w:num>
  <w:num w:numId="23">
    <w:abstractNumId w:val="11"/>
  </w:num>
  <w:num w:numId="24">
    <w:abstractNumId w:val="12"/>
  </w:num>
  <w:num w:numId="25">
    <w:abstractNumId w:val="18"/>
  </w:num>
  <w:num w:numId="26">
    <w:abstractNumId w:val="15"/>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defaultTableStyle w:val="TheDanishInstituteforHumanRights"/>
  <w:evenAndOddHeaders/>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03"/>
    <w:rsid w:val="00003FCA"/>
    <w:rsid w:val="00011D99"/>
    <w:rsid w:val="00012D5F"/>
    <w:rsid w:val="00023795"/>
    <w:rsid w:val="00023C0D"/>
    <w:rsid w:val="00025644"/>
    <w:rsid w:val="00033801"/>
    <w:rsid w:val="00034006"/>
    <w:rsid w:val="0004356C"/>
    <w:rsid w:val="0005394C"/>
    <w:rsid w:val="00055891"/>
    <w:rsid w:val="0006072C"/>
    <w:rsid w:val="00064DD6"/>
    <w:rsid w:val="00066A6F"/>
    <w:rsid w:val="00066E3D"/>
    <w:rsid w:val="00070012"/>
    <w:rsid w:val="0007366F"/>
    <w:rsid w:val="0007373F"/>
    <w:rsid w:val="00085F66"/>
    <w:rsid w:val="00091C52"/>
    <w:rsid w:val="0009279B"/>
    <w:rsid w:val="0009603A"/>
    <w:rsid w:val="0009648C"/>
    <w:rsid w:val="00097BDD"/>
    <w:rsid w:val="000A1C8E"/>
    <w:rsid w:val="000A5F18"/>
    <w:rsid w:val="000A7B9C"/>
    <w:rsid w:val="000B0B6F"/>
    <w:rsid w:val="000B12FA"/>
    <w:rsid w:val="000B35F3"/>
    <w:rsid w:val="000B654F"/>
    <w:rsid w:val="000C20C6"/>
    <w:rsid w:val="000C671F"/>
    <w:rsid w:val="000D00B6"/>
    <w:rsid w:val="000D1832"/>
    <w:rsid w:val="000D3246"/>
    <w:rsid w:val="000D4F86"/>
    <w:rsid w:val="000D5434"/>
    <w:rsid w:val="000D65CB"/>
    <w:rsid w:val="000E135C"/>
    <w:rsid w:val="000E2803"/>
    <w:rsid w:val="000E4D37"/>
    <w:rsid w:val="000E6759"/>
    <w:rsid w:val="000F265F"/>
    <w:rsid w:val="000F39E2"/>
    <w:rsid w:val="000F70B6"/>
    <w:rsid w:val="000F7ED3"/>
    <w:rsid w:val="00105AB7"/>
    <w:rsid w:val="0010674C"/>
    <w:rsid w:val="0011157F"/>
    <w:rsid w:val="001140F6"/>
    <w:rsid w:val="00116790"/>
    <w:rsid w:val="001171A6"/>
    <w:rsid w:val="0011734E"/>
    <w:rsid w:val="001316A9"/>
    <w:rsid w:val="00134B36"/>
    <w:rsid w:val="00142AF9"/>
    <w:rsid w:val="00142D39"/>
    <w:rsid w:val="00144F3F"/>
    <w:rsid w:val="00145759"/>
    <w:rsid w:val="00147CDF"/>
    <w:rsid w:val="00152D2F"/>
    <w:rsid w:val="00154ACD"/>
    <w:rsid w:val="00155AB6"/>
    <w:rsid w:val="00156AA8"/>
    <w:rsid w:val="00162304"/>
    <w:rsid w:val="00162BC4"/>
    <w:rsid w:val="00167520"/>
    <w:rsid w:val="00170647"/>
    <w:rsid w:val="00170885"/>
    <w:rsid w:val="001709FA"/>
    <w:rsid w:val="00172A8A"/>
    <w:rsid w:val="00174DE0"/>
    <w:rsid w:val="00182EAA"/>
    <w:rsid w:val="00184588"/>
    <w:rsid w:val="00190815"/>
    <w:rsid w:val="0019229F"/>
    <w:rsid w:val="0019471C"/>
    <w:rsid w:val="001A1160"/>
    <w:rsid w:val="001A42A9"/>
    <w:rsid w:val="001A4A24"/>
    <w:rsid w:val="001A5D53"/>
    <w:rsid w:val="001B5D4C"/>
    <w:rsid w:val="001C0D09"/>
    <w:rsid w:val="001C4725"/>
    <w:rsid w:val="001C6811"/>
    <w:rsid w:val="001C6CF7"/>
    <w:rsid w:val="001D1859"/>
    <w:rsid w:val="001D1BD7"/>
    <w:rsid w:val="001D3D3B"/>
    <w:rsid w:val="001D4528"/>
    <w:rsid w:val="001E2C18"/>
    <w:rsid w:val="001E460C"/>
    <w:rsid w:val="001F0AD7"/>
    <w:rsid w:val="001F19D9"/>
    <w:rsid w:val="001F2617"/>
    <w:rsid w:val="001F5F15"/>
    <w:rsid w:val="001F6B15"/>
    <w:rsid w:val="002005C4"/>
    <w:rsid w:val="00204DFB"/>
    <w:rsid w:val="00205610"/>
    <w:rsid w:val="002057DF"/>
    <w:rsid w:val="002127BA"/>
    <w:rsid w:val="00212FD6"/>
    <w:rsid w:val="00213AF4"/>
    <w:rsid w:val="0021483F"/>
    <w:rsid w:val="00214BB6"/>
    <w:rsid w:val="00217B7A"/>
    <w:rsid w:val="00217D6B"/>
    <w:rsid w:val="002246BA"/>
    <w:rsid w:val="00225EF5"/>
    <w:rsid w:val="00232241"/>
    <w:rsid w:val="00236274"/>
    <w:rsid w:val="002416AF"/>
    <w:rsid w:val="00241F4B"/>
    <w:rsid w:val="00245713"/>
    <w:rsid w:val="002460D8"/>
    <w:rsid w:val="00247C9F"/>
    <w:rsid w:val="00250785"/>
    <w:rsid w:val="00251AC4"/>
    <w:rsid w:val="002523E9"/>
    <w:rsid w:val="002529C7"/>
    <w:rsid w:val="002538D2"/>
    <w:rsid w:val="002610A8"/>
    <w:rsid w:val="00263761"/>
    <w:rsid w:val="00264A65"/>
    <w:rsid w:val="002739B0"/>
    <w:rsid w:val="00275232"/>
    <w:rsid w:val="00276829"/>
    <w:rsid w:val="00276E45"/>
    <w:rsid w:val="00282961"/>
    <w:rsid w:val="002847A5"/>
    <w:rsid w:val="0028749F"/>
    <w:rsid w:val="002903D4"/>
    <w:rsid w:val="0029045D"/>
    <w:rsid w:val="002941E0"/>
    <w:rsid w:val="00296978"/>
    <w:rsid w:val="002970AA"/>
    <w:rsid w:val="002A0429"/>
    <w:rsid w:val="002A0CF7"/>
    <w:rsid w:val="002A1B8A"/>
    <w:rsid w:val="002A7E03"/>
    <w:rsid w:val="002B13F2"/>
    <w:rsid w:val="002B4B04"/>
    <w:rsid w:val="002B641C"/>
    <w:rsid w:val="002C1A23"/>
    <w:rsid w:val="002C27C1"/>
    <w:rsid w:val="002C525A"/>
    <w:rsid w:val="002E0ABC"/>
    <w:rsid w:val="002E0E3D"/>
    <w:rsid w:val="002E1986"/>
    <w:rsid w:val="002E21BA"/>
    <w:rsid w:val="002E24EA"/>
    <w:rsid w:val="002E268F"/>
    <w:rsid w:val="002E28BF"/>
    <w:rsid w:val="002E3438"/>
    <w:rsid w:val="002E5FE1"/>
    <w:rsid w:val="002F399A"/>
    <w:rsid w:val="002F4665"/>
    <w:rsid w:val="002F7D20"/>
    <w:rsid w:val="00301CC1"/>
    <w:rsid w:val="003032C8"/>
    <w:rsid w:val="00306DD0"/>
    <w:rsid w:val="00323AF2"/>
    <w:rsid w:val="00330D5C"/>
    <w:rsid w:val="00333238"/>
    <w:rsid w:val="003362E8"/>
    <w:rsid w:val="003413E6"/>
    <w:rsid w:val="0034300D"/>
    <w:rsid w:val="00346BBA"/>
    <w:rsid w:val="003543A3"/>
    <w:rsid w:val="00357A5F"/>
    <w:rsid w:val="0036691E"/>
    <w:rsid w:val="00366CAE"/>
    <w:rsid w:val="00367654"/>
    <w:rsid w:val="00373550"/>
    <w:rsid w:val="0037763F"/>
    <w:rsid w:val="003839EC"/>
    <w:rsid w:val="00390500"/>
    <w:rsid w:val="003913FC"/>
    <w:rsid w:val="00394A39"/>
    <w:rsid w:val="00395193"/>
    <w:rsid w:val="003A09FF"/>
    <w:rsid w:val="003A5404"/>
    <w:rsid w:val="003A5C79"/>
    <w:rsid w:val="003B1827"/>
    <w:rsid w:val="003B3000"/>
    <w:rsid w:val="003B31D5"/>
    <w:rsid w:val="003B7035"/>
    <w:rsid w:val="003C0A8C"/>
    <w:rsid w:val="003C0BA4"/>
    <w:rsid w:val="003C6A30"/>
    <w:rsid w:val="003D0347"/>
    <w:rsid w:val="003D23CC"/>
    <w:rsid w:val="003D359B"/>
    <w:rsid w:val="003D57BF"/>
    <w:rsid w:val="003E021A"/>
    <w:rsid w:val="003E105E"/>
    <w:rsid w:val="003E353C"/>
    <w:rsid w:val="003E3D5D"/>
    <w:rsid w:val="003E435A"/>
    <w:rsid w:val="003E4764"/>
    <w:rsid w:val="00401B9C"/>
    <w:rsid w:val="0040387A"/>
    <w:rsid w:val="00404112"/>
    <w:rsid w:val="004055D1"/>
    <w:rsid w:val="00406230"/>
    <w:rsid w:val="0040753C"/>
    <w:rsid w:val="00410CAA"/>
    <w:rsid w:val="004123D4"/>
    <w:rsid w:val="00414334"/>
    <w:rsid w:val="00417ACC"/>
    <w:rsid w:val="004202BC"/>
    <w:rsid w:val="00424363"/>
    <w:rsid w:val="00424C1C"/>
    <w:rsid w:val="0042602F"/>
    <w:rsid w:val="004318C2"/>
    <w:rsid w:val="004343A3"/>
    <w:rsid w:val="004446A8"/>
    <w:rsid w:val="004455FC"/>
    <w:rsid w:val="00450B24"/>
    <w:rsid w:val="00455DD5"/>
    <w:rsid w:val="00460B5C"/>
    <w:rsid w:val="00461B77"/>
    <w:rsid w:val="00465DCE"/>
    <w:rsid w:val="004725DB"/>
    <w:rsid w:val="00473747"/>
    <w:rsid w:val="00474360"/>
    <w:rsid w:val="00484A77"/>
    <w:rsid w:val="00484C2A"/>
    <w:rsid w:val="00487452"/>
    <w:rsid w:val="004905EE"/>
    <w:rsid w:val="00490D05"/>
    <w:rsid w:val="00490DB8"/>
    <w:rsid w:val="004941B3"/>
    <w:rsid w:val="00494F72"/>
    <w:rsid w:val="004972C5"/>
    <w:rsid w:val="00497464"/>
    <w:rsid w:val="00497EEE"/>
    <w:rsid w:val="004A4469"/>
    <w:rsid w:val="004A458B"/>
    <w:rsid w:val="004A7504"/>
    <w:rsid w:val="004A7F82"/>
    <w:rsid w:val="004B33E8"/>
    <w:rsid w:val="004B4F4C"/>
    <w:rsid w:val="004B57C5"/>
    <w:rsid w:val="004C0813"/>
    <w:rsid w:val="004C1E6C"/>
    <w:rsid w:val="004C33A5"/>
    <w:rsid w:val="004C6C79"/>
    <w:rsid w:val="004C7795"/>
    <w:rsid w:val="004D1856"/>
    <w:rsid w:val="004D4134"/>
    <w:rsid w:val="004D5959"/>
    <w:rsid w:val="004E0C7D"/>
    <w:rsid w:val="004E2188"/>
    <w:rsid w:val="004E330E"/>
    <w:rsid w:val="004E52F7"/>
    <w:rsid w:val="004E7038"/>
    <w:rsid w:val="004F563B"/>
    <w:rsid w:val="004F6DDB"/>
    <w:rsid w:val="0050103F"/>
    <w:rsid w:val="00503267"/>
    <w:rsid w:val="00504FE4"/>
    <w:rsid w:val="005063DF"/>
    <w:rsid w:val="0050769E"/>
    <w:rsid w:val="00511F9B"/>
    <w:rsid w:val="005124DD"/>
    <w:rsid w:val="00514BA5"/>
    <w:rsid w:val="0051575A"/>
    <w:rsid w:val="00517459"/>
    <w:rsid w:val="005202A7"/>
    <w:rsid w:val="00523AA5"/>
    <w:rsid w:val="0052738D"/>
    <w:rsid w:val="00531E4F"/>
    <w:rsid w:val="00532289"/>
    <w:rsid w:val="0054372D"/>
    <w:rsid w:val="0054635E"/>
    <w:rsid w:val="00546E8B"/>
    <w:rsid w:val="0054750F"/>
    <w:rsid w:val="00552A44"/>
    <w:rsid w:val="00555B97"/>
    <w:rsid w:val="005560E0"/>
    <w:rsid w:val="00567784"/>
    <w:rsid w:val="0057040B"/>
    <w:rsid w:val="0057078E"/>
    <w:rsid w:val="00573771"/>
    <w:rsid w:val="00576DFA"/>
    <w:rsid w:val="00577982"/>
    <w:rsid w:val="0058048B"/>
    <w:rsid w:val="005804D9"/>
    <w:rsid w:val="00584CC8"/>
    <w:rsid w:val="00585683"/>
    <w:rsid w:val="00590234"/>
    <w:rsid w:val="005905B3"/>
    <w:rsid w:val="005908F7"/>
    <w:rsid w:val="00591868"/>
    <w:rsid w:val="00593326"/>
    <w:rsid w:val="00594D23"/>
    <w:rsid w:val="005A190F"/>
    <w:rsid w:val="005A77CD"/>
    <w:rsid w:val="005B0A86"/>
    <w:rsid w:val="005B638F"/>
    <w:rsid w:val="005C63A0"/>
    <w:rsid w:val="005C6690"/>
    <w:rsid w:val="005E501A"/>
    <w:rsid w:val="005F2ACD"/>
    <w:rsid w:val="005F44B7"/>
    <w:rsid w:val="005F71C9"/>
    <w:rsid w:val="0060352F"/>
    <w:rsid w:val="0060459C"/>
    <w:rsid w:val="00611AE0"/>
    <w:rsid w:val="006137D5"/>
    <w:rsid w:val="006151C2"/>
    <w:rsid w:val="00616811"/>
    <w:rsid w:val="006228D1"/>
    <w:rsid w:val="006239D6"/>
    <w:rsid w:val="00633BB1"/>
    <w:rsid w:val="006400B2"/>
    <w:rsid w:val="0064115B"/>
    <w:rsid w:val="006505B2"/>
    <w:rsid w:val="00655DC5"/>
    <w:rsid w:val="00657E80"/>
    <w:rsid w:val="006607AE"/>
    <w:rsid w:val="0066686F"/>
    <w:rsid w:val="006712A2"/>
    <w:rsid w:val="00676C92"/>
    <w:rsid w:val="00684BDD"/>
    <w:rsid w:val="00686418"/>
    <w:rsid w:val="006915FF"/>
    <w:rsid w:val="006971E6"/>
    <w:rsid w:val="006A710C"/>
    <w:rsid w:val="006A7C7A"/>
    <w:rsid w:val="006B37F4"/>
    <w:rsid w:val="006B5C25"/>
    <w:rsid w:val="006C0E8E"/>
    <w:rsid w:val="006C480F"/>
    <w:rsid w:val="006C55B2"/>
    <w:rsid w:val="006C5B77"/>
    <w:rsid w:val="006D2B19"/>
    <w:rsid w:val="006D40C8"/>
    <w:rsid w:val="006D601C"/>
    <w:rsid w:val="006E1984"/>
    <w:rsid w:val="006E19B2"/>
    <w:rsid w:val="006E41C4"/>
    <w:rsid w:val="006E75AF"/>
    <w:rsid w:val="006F0253"/>
    <w:rsid w:val="006F1461"/>
    <w:rsid w:val="006F7AAB"/>
    <w:rsid w:val="00700E08"/>
    <w:rsid w:val="00702CAA"/>
    <w:rsid w:val="0070366B"/>
    <w:rsid w:val="00703DE6"/>
    <w:rsid w:val="0070407A"/>
    <w:rsid w:val="0070502D"/>
    <w:rsid w:val="00714AEC"/>
    <w:rsid w:val="0072142F"/>
    <w:rsid w:val="00721636"/>
    <w:rsid w:val="00721DA2"/>
    <w:rsid w:val="007224BE"/>
    <w:rsid w:val="007246CB"/>
    <w:rsid w:val="00732BA8"/>
    <w:rsid w:val="0073471F"/>
    <w:rsid w:val="00740519"/>
    <w:rsid w:val="00741666"/>
    <w:rsid w:val="007421C4"/>
    <w:rsid w:val="00742512"/>
    <w:rsid w:val="00743F9C"/>
    <w:rsid w:val="007452BB"/>
    <w:rsid w:val="00747BEE"/>
    <w:rsid w:val="00751638"/>
    <w:rsid w:val="00752417"/>
    <w:rsid w:val="00752CAB"/>
    <w:rsid w:val="0075776A"/>
    <w:rsid w:val="0076186D"/>
    <w:rsid w:val="007714F1"/>
    <w:rsid w:val="00772318"/>
    <w:rsid w:val="0077416C"/>
    <w:rsid w:val="0077458E"/>
    <w:rsid w:val="00775299"/>
    <w:rsid w:val="00775833"/>
    <w:rsid w:val="00777E30"/>
    <w:rsid w:val="00781616"/>
    <w:rsid w:val="00784FE9"/>
    <w:rsid w:val="0078581B"/>
    <w:rsid w:val="00796639"/>
    <w:rsid w:val="007A2718"/>
    <w:rsid w:val="007A2A0D"/>
    <w:rsid w:val="007A4EB6"/>
    <w:rsid w:val="007B0A7A"/>
    <w:rsid w:val="007B46F5"/>
    <w:rsid w:val="007B46FB"/>
    <w:rsid w:val="007B4E9E"/>
    <w:rsid w:val="007B504E"/>
    <w:rsid w:val="007C2814"/>
    <w:rsid w:val="007C3310"/>
    <w:rsid w:val="007C3817"/>
    <w:rsid w:val="007C42D8"/>
    <w:rsid w:val="007D1049"/>
    <w:rsid w:val="007D54B2"/>
    <w:rsid w:val="007D79E8"/>
    <w:rsid w:val="007E1419"/>
    <w:rsid w:val="007E2F9A"/>
    <w:rsid w:val="007E4194"/>
    <w:rsid w:val="007E536D"/>
    <w:rsid w:val="007E6A85"/>
    <w:rsid w:val="007F3B31"/>
    <w:rsid w:val="007F4104"/>
    <w:rsid w:val="007F4596"/>
    <w:rsid w:val="007F6069"/>
    <w:rsid w:val="00803471"/>
    <w:rsid w:val="00804792"/>
    <w:rsid w:val="00805121"/>
    <w:rsid w:val="00806C3C"/>
    <w:rsid w:val="00807B02"/>
    <w:rsid w:val="00814798"/>
    <w:rsid w:val="00824F67"/>
    <w:rsid w:val="008252E3"/>
    <w:rsid w:val="008254C4"/>
    <w:rsid w:val="00830EC1"/>
    <w:rsid w:val="00834183"/>
    <w:rsid w:val="008372A2"/>
    <w:rsid w:val="008374E8"/>
    <w:rsid w:val="00841E25"/>
    <w:rsid w:val="0084210F"/>
    <w:rsid w:val="008442F2"/>
    <w:rsid w:val="0084690E"/>
    <w:rsid w:val="008516B2"/>
    <w:rsid w:val="0085660B"/>
    <w:rsid w:val="00857F1D"/>
    <w:rsid w:val="0086224B"/>
    <w:rsid w:val="008644BE"/>
    <w:rsid w:val="00865258"/>
    <w:rsid w:val="00871CF3"/>
    <w:rsid w:val="00872582"/>
    <w:rsid w:val="00874D87"/>
    <w:rsid w:val="00882366"/>
    <w:rsid w:val="008A0B96"/>
    <w:rsid w:val="008B02C9"/>
    <w:rsid w:val="008B6BB3"/>
    <w:rsid w:val="008C0B4D"/>
    <w:rsid w:val="008C2806"/>
    <w:rsid w:val="008C3F76"/>
    <w:rsid w:val="008C7B69"/>
    <w:rsid w:val="008E54F5"/>
    <w:rsid w:val="008F6A16"/>
    <w:rsid w:val="00900638"/>
    <w:rsid w:val="0090414D"/>
    <w:rsid w:val="00904498"/>
    <w:rsid w:val="009056DA"/>
    <w:rsid w:val="00907E87"/>
    <w:rsid w:val="00910D23"/>
    <w:rsid w:val="00911307"/>
    <w:rsid w:val="00923BDF"/>
    <w:rsid w:val="00926AE6"/>
    <w:rsid w:val="00932010"/>
    <w:rsid w:val="00933CB5"/>
    <w:rsid w:val="00936052"/>
    <w:rsid w:val="00937090"/>
    <w:rsid w:val="00940FB9"/>
    <w:rsid w:val="00943A2C"/>
    <w:rsid w:val="009456D6"/>
    <w:rsid w:val="00946A4C"/>
    <w:rsid w:val="009509EC"/>
    <w:rsid w:val="0095199A"/>
    <w:rsid w:val="009563E2"/>
    <w:rsid w:val="00960648"/>
    <w:rsid w:val="00962D9B"/>
    <w:rsid w:val="00964B5B"/>
    <w:rsid w:val="00971C10"/>
    <w:rsid w:val="0097268D"/>
    <w:rsid w:val="00973282"/>
    <w:rsid w:val="009748F7"/>
    <w:rsid w:val="0098070B"/>
    <w:rsid w:val="00980AF1"/>
    <w:rsid w:val="00985AB5"/>
    <w:rsid w:val="0099186E"/>
    <w:rsid w:val="00992EE2"/>
    <w:rsid w:val="00995253"/>
    <w:rsid w:val="00995867"/>
    <w:rsid w:val="009967F0"/>
    <w:rsid w:val="009A05FD"/>
    <w:rsid w:val="009A1894"/>
    <w:rsid w:val="009A568F"/>
    <w:rsid w:val="009A79F2"/>
    <w:rsid w:val="009B0CB9"/>
    <w:rsid w:val="009B0E40"/>
    <w:rsid w:val="009B1338"/>
    <w:rsid w:val="009B4C37"/>
    <w:rsid w:val="009B5C72"/>
    <w:rsid w:val="009B71D1"/>
    <w:rsid w:val="009B76B4"/>
    <w:rsid w:val="009C1790"/>
    <w:rsid w:val="009C205D"/>
    <w:rsid w:val="009C4302"/>
    <w:rsid w:val="009C4359"/>
    <w:rsid w:val="009C675D"/>
    <w:rsid w:val="009C7EA3"/>
    <w:rsid w:val="009D1ED4"/>
    <w:rsid w:val="009D565C"/>
    <w:rsid w:val="009D6428"/>
    <w:rsid w:val="009D6629"/>
    <w:rsid w:val="009D6CED"/>
    <w:rsid w:val="009E4FEF"/>
    <w:rsid w:val="009F04D2"/>
    <w:rsid w:val="009F097C"/>
    <w:rsid w:val="009F0F56"/>
    <w:rsid w:val="009F2368"/>
    <w:rsid w:val="009F5B38"/>
    <w:rsid w:val="009F5C61"/>
    <w:rsid w:val="00A028D2"/>
    <w:rsid w:val="00A03E6A"/>
    <w:rsid w:val="00A05A78"/>
    <w:rsid w:val="00A10CCA"/>
    <w:rsid w:val="00A150CC"/>
    <w:rsid w:val="00A22499"/>
    <w:rsid w:val="00A24476"/>
    <w:rsid w:val="00A27C38"/>
    <w:rsid w:val="00A31C9B"/>
    <w:rsid w:val="00A3266A"/>
    <w:rsid w:val="00A330BA"/>
    <w:rsid w:val="00A33CCD"/>
    <w:rsid w:val="00A36180"/>
    <w:rsid w:val="00A40081"/>
    <w:rsid w:val="00A43465"/>
    <w:rsid w:val="00A44B7C"/>
    <w:rsid w:val="00A549D1"/>
    <w:rsid w:val="00A5523B"/>
    <w:rsid w:val="00A614C3"/>
    <w:rsid w:val="00A6348E"/>
    <w:rsid w:val="00A71877"/>
    <w:rsid w:val="00A71894"/>
    <w:rsid w:val="00A71DEC"/>
    <w:rsid w:val="00A72127"/>
    <w:rsid w:val="00A72AEF"/>
    <w:rsid w:val="00A73C0C"/>
    <w:rsid w:val="00A75D3F"/>
    <w:rsid w:val="00A765F2"/>
    <w:rsid w:val="00A801FC"/>
    <w:rsid w:val="00A82A76"/>
    <w:rsid w:val="00A8334B"/>
    <w:rsid w:val="00A833CF"/>
    <w:rsid w:val="00A83BC2"/>
    <w:rsid w:val="00A84C87"/>
    <w:rsid w:val="00A86913"/>
    <w:rsid w:val="00A91BE6"/>
    <w:rsid w:val="00A95185"/>
    <w:rsid w:val="00A95CFC"/>
    <w:rsid w:val="00AA26CB"/>
    <w:rsid w:val="00AA4A61"/>
    <w:rsid w:val="00AA665C"/>
    <w:rsid w:val="00AA7822"/>
    <w:rsid w:val="00AB1FEF"/>
    <w:rsid w:val="00AB52C9"/>
    <w:rsid w:val="00AB6F24"/>
    <w:rsid w:val="00AC393E"/>
    <w:rsid w:val="00AD2590"/>
    <w:rsid w:val="00AE3721"/>
    <w:rsid w:val="00AE4EC4"/>
    <w:rsid w:val="00AF0EB6"/>
    <w:rsid w:val="00AF2231"/>
    <w:rsid w:val="00AF2E47"/>
    <w:rsid w:val="00AF574C"/>
    <w:rsid w:val="00B02B86"/>
    <w:rsid w:val="00B034B4"/>
    <w:rsid w:val="00B052E2"/>
    <w:rsid w:val="00B067E6"/>
    <w:rsid w:val="00B21072"/>
    <w:rsid w:val="00B24506"/>
    <w:rsid w:val="00B33CE2"/>
    <w:rsid w:val="00B356E4"/>
    <w:rsid w:val="00B35E89"/>
    <w:rsid w:val="00B37C2E"/>
    <w:rsid w:val="00B4595B"/>
    <w:rsid w:val="00B5358D"/>
    <w:rsid w:val="00B54EEB"/>
    <w:rsid w:val="00B56434"/>
    <w:rsid w:val="00B57618"/>
    <w:rsid w:val="00B65655"/>
    <w:rsid w:val="00B65E3C"/>
    <w:rsid w:val="00B77B66"/>
    <w:rsid w:val="00B8003A"/>
    <w:rsid w:val="00B806B9"/>
    <w:rsid w:val="00B8651D"/>
    <w:rsid w:val="00B8683C"/>
    <w:rsid w:val="00B86E96"/>
    <w:rsid w:val="00B8769C"/>
    <w:rsid w:val="00B91309"/>
    <w:rsid w:val="00B92DED"/>
    <w:rsid w:val="00B957AF"/>
    <w:rsid w:val="00BA30FD"/>
    <w:rsid w:val="00BA34CB"/>
    <w:rsid w:val="00BA350E"/>
    <w:rsid w:val="00BA5037"/>
    <w:rsid w:val="00BA7C4E"/>
    <w:rsid w:val="00BC15A1"/>
    <w:rsid w:val="00BE1DC5"/>
    <w:rsid w:val="00BE6488"/>
    <w:rsid w:val="00BE726A"/>
    <w:rsid w:val="00BF0510"/>
    <w:rsid w:val="00BF089F"/>
    <w:rsid w:val="00BF2690"/>
    <w:rsid w:val="00C00211"/>
    <w:rsid w:val="00C004C1"/>
    <w:rsid w:val="00C010CA"/>
    <w:rsid w:val="00C06864"/>
    <w:rsid w:val="00C06F01"/>
    <w:rsid w:val="00C14EED"/>
    <w:rsid w:val="00C24601"/>
    <w:rsid w:val="00C26951"/>
    <w:rsid w:val="00C27573"/>
    <w:rsid w:val="00C279AA"/>
    <w:rsid w:val="00C31B4C"/>
    <w:rsid w:val="00C32E23"/>
    <w:rsid w:val="00C4191A"/>
    <w:rsid w:val="00C41DD1"/>
    <w:rsid w:val="00C4306D"/>
    <w:rsid w:val="00C475AD"/>
    <w:rsid w:val="00C52D70"/>
    <w:rsid w:val="00C554BC"/>
    <w:rsid w:val="00C56438"/>
    <w:rsid w:val="00C56746"/>
    <w:rsid w:val="00C63280"/>
    <w:rsid w:val="00C63606"/>
    <w:rsid w:val="00C6588D"/>
    <w:rsid w:val="00C711E4"/>
    <w:rsid w:val="00C714D2"/>
    <w:rsid w:val="00C71529"/>
    <w:rsid w:val="00C7427E"/>
    <w:rsid w:val="00C74E1B"/>
    <w:rsid w:val="00C76AF3"/>
    <w:rsid w:val="00C814B7"/>
    <w:rsid w:val="00C81DBB"/>
    <w:rsid w:val="00C83E8E"/>
    <w:rsid w:val="00C85443"/>
    <w:rsid w:val="00CA61F1"/>
    <w:rsid w:val="00CA7BE2"/>
    <w:rsid w:val="00CB143E"/>
    <w:rsid w:val="00CB19B1"/>
    <w:rsid w:val="00CB262B"/>
    <w:rsid w:val="00CB65C3"/>
    <w:rsid w:val="00CB6BF0"/>
    <w:rsid w:val="00CB73EE"/>
    <w:rsid w:val="00CC72B6"/>
    <w:rsid w:val="00CC76B1"/>
    <w:rsid w:val="00CD647F"/>
    <w:rsid w:val="00CD6726"/>
    <w:rsid w:val="00CE02A1"/>
    <w:rsid w:val="00CF16EE"/>
    <w:rsid w:val="00CF55C3"/>
    <w:rsid w:val="00CF74F2"/>
    <w:rsid w:val="00D041DD"/>
    <w:rsid w:val="00D04359"/>
    <w:rsid w:val="00D044E9"/>
    <w:rsid w:val="00D061E1"/>
    <w:rsid w:val="00D06572"/>
    <w:rsid w:val="00D1710B"/>
    <w:rsid w:val="00D20E7D"/>
    <w:rsid w:val="00D24DB9"/>
    <w:rsid w:val="00D259B4"/>
    <w:rsid w:val="00D27CC9"/>
    <w:rsid w:val="00D33720"/>
    <w:rsid w:val="00D36761"/>
    <w:rsid w:val="00D41884"/>
    <w:rsid w:val="00D47F2E"/>
    <w:rsid w:val="00D47F80"/>
    <w:rsid w:val="00D50BA1"/>
    <w:rsid w:val="00D530A6"/>
    <w:rsid w:val="00D53705"/>
    <w:rsid w:val="00D6607A"/>
    <w:rsid w:val="00D779E7"/>
    <w:rsid w:val="00D82B8F"/>
    <w:rsid w:val="00D83034"/>
    <w:rsid w:val="00D87120"/>
    <w:rsid w:val="00D94E1D"/>
    <w:rsid w:val="00D96193"/>
    <w:rsid w:val="00D968C9"/>
    <w:rsid w:val="00DA1242"/>
    <w:rsid w:val="00DA5EC4"/>
    <w:rsid w:val="00DB0431"/>
    <w:rsid w:val="00DB290B"/>
    <w:rsid w:val="00DB296B"/>
    <w:rsid w:val="00DB3625"/>
    <w:rsid w:val="00DB6B80"/>
    <w:rsid w:val="00DC358E"/>
    <w:rsid w:val="00DC7BAC"/>
    <w:rsid w:val="00DD0535"/>
    <w:rsid w:val="00DD0719"/>
    <w:rsid w:val="00DD41AF"/>
    <w:rsid w:val="00DE0F12"/>
    <w:rsid w:val="00DE40EF"/>
    <w:rsid w:val="00DE5439"/>
    <w:rsid w:val="00DE6D48"/>
    <w:rsid w:val="00DF4284"/>
    <w:rsid w:val="00DF6EF2"/>
    <w:rsid w:val="00E01393"/>
    <w:rsid w:val="00E02214"/>
    <w:rsid w:val="00E15B1F"/>
    <w:rsid w:val="00E15F91"/>
    <w:rsid w:val="00E23546"/>
    <w:rsid w:val="00E3072F"/>
    <w:rsid w:val="00E3361E"/>
    <w:rsid w:val="00E43370"/>
    <w:rsid w:val="00E60014"/>
    <w:rsid w:val="00E64908"/>
    <w:rsid w:val="00E65FF7"/>
    <w:rsid w:val="00E7089C"/>
    <w:rsid w:val="00E754A5"/>
    <w:rsid w:val="00E77950"/>
    <w:rsid w:val="00E77ECA"/>
    <w:rsid w:val="00E801F5"/>
    <w:rsid w:val="00E81758"/>
    <w:rsid w:val="00E84E2A"/>
    <w:rsid w:val="00E86F8E"/>
    <w:rsid w:val="00E90C45"/>
    <w:rsid w:val="00EA04E5"/>
    <w:rsid w:val="00EA73BD"/>
    <w:rsid w:val="00EB621C"/>
    <w:rsid w:val="00EC0860"/>
    <w:rsid w:val="00EC3427"/>
    <w:rsid w:val="00EC3960"/>
    <w:rsid w:val="00EC4C49"/>
    <w:rsid w:val="00ED0EEB"/>
    <w:rsid w:val="00EE01BA"/>
    <w:rsid w:val="00EE384B"/>
    <w:rsid w:val="00EE5AE6"/>
    <w:rsid w:val="00EE67BB"/>
    <w:rsid w:val="00EF1AD7"/>
    <w:rsid w:val="00EF51C2"/>
    <w:rsid w:val="00F00AE9"/>
    <w:rsid w:val="00F0195F"/>
    <w:rsid w:val="00F04BB7"/>
    <w:rsid w:val="00F05057"/>
    <w:rsid w:val="00F1086E"/>
    <w:rsid w:val="00F10E94"/>
    <w:rsid w:val="00F11264"/>
    <w:rsid w:val="00F11813"/>
    <w:rsid w:val="00F119D4"/>
    <w:rsid w:val="00F16E09"/>
    <w:rsid w:val="00F215D6"/>
    <w:rsid w:val="00F25638"/>
    <w:rsid w:val="00F26C4A"/>
    <w:rsid w:val="00F27AA4"/>
    <w:rsid w:val="00F308A6"/>
    <w:rsid w:val="00F309DE"/>
    <w:rsid w:val="00F318CF"/>
    <w:rsid w:val="00F32875"/>
    <w:rsid w:val="00F36325"/>
    <w:rsid w:val="00F36B38"/>
    <w:rsid w:val="00F41801"/>
    <w:rsid w:val="00F41F65"/>
    <w:rsid w:val="00F459EA"/>
    <w:rsid w:val="00F45A80"/>
    <w:rsid w:val="00F46DE0"/>
    <w:rsid w:val="00F478C4"/>
    <w:rsid w:val="00F50686"/>
    <w:rsid w:val="00F51565"/>
    <w:rsid w:val="00F52E12"/>
    <w:rsid w:val="00F544E9"/>
    <w:rsid w:val="00F56D0F"/>
    <w:rsid w:val="00F75084"/>
    <w:rsid w:val="00F80930"/>
    <w:rsid w:val="00F81336"/>
    <w:rsid w:val="00F84971"/>
    <w:rsid w:val="00F851B8"/>
    <w:rsid w:val="00F90231"/>
    <w:rsid w:val="00F90CE2"/>
    <w:rsid w:val="00F94F6D"/>
    <w:rsid w:val="00F9654C"/>
    <w:rsid w:val="00FC0229"/>
    <w:rsid w:val="00FC401B"/>
    <w:rsid w:val="00FC6A77"/>
    <w:rsid w:val="00FC7147"/>
    <w:rsid w:val="00FD1C71"/>
    <w:rsid w:val="00FD1F63"/>
    <w:rsid w:val="00FD4BD3"/>
    <w:rsid w:val="00FE1509"/>
    <w:rsid w:val="00FE5697"/>
    <w:rsid w:val="00FF11B3"/>
    <w:rsid w:val="00FF18C0"/>
    <w:rsid w:val="00FF243F"/>
    <w:rsid w:val="00FF50DA"/>
    <w:rsid w:val="00FF7566"/>
    <w:rsid w:val="00FF7C0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1A846-F296-434C-B238-E9B2B368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da-DK"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uiPriority="5"/>
    <w:lsdException w:name="Body Text First Indent" w:semiHidden="1"/>
    <w:lsdException w:name="Body Text First Indent 2" w:semiHidden="1" w:unhideWhenUsed="1"/>
    <w:lsdException w:name="Note Heading" w:uiPriority="4"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lsdException w:name="Intense Quote" w:uiPriority="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75A"/>
    <w:rPr>
      <w:lang w:val="en-GB"/>
    </w:rPr>
  </w:style>
  <w:style w:type="paragraph" w:styleId="Heading1">
    <w:name w:val="heading 1"/>
    <w:basedOn w:val="Normal"/>
    <w:next w:val="Normal"/>
    <w:link w:val="Heading1Char"/>
    <w:uiPriority w:val="1"/>
    <w:qFormat/>
    <w:rsid w:val="00EA172E"/>
    <w:pPr>
      <w:keepNext/>
      <w:keepLines/>
      <w:numPr>
        <w:numId w:val="14"/>
      </w:numPr>
      <w:spacing w:before="200" w:after="1440" w:line="560" w:lineRule="atLeast"/>
      <w:contextualSpacing/>
      <w:outlineLvl w:val="0"/>
    </w:pPr>
    <w:rPr>
      <w:rFonts w:eastAsiaTheme="majorEastAsia" w:cstheme="majorBidi"/>
      <w:bCs/>
      <w:caps/>
      <w:spacing w:val="20"/>
      <w:sz w:val="48"/>
      <w:szCs w:val="28"/>
    </w:rPr>
  </w:style>
  <w:style w:type="paragraph" w:styleId="Heading2">
    <w:name w:val="heading 2"/>
    <w:basedOn w:val="Normal"/>
    <w:next w:val="Normal"/>
    <w:link w:val="Heading2Char"/>
    <w:autoRedefine/>
    <w:uiPriority w:val="2"/>
    <w:qFormat/>
    <w:rsid w:val="00F81336"/>
    <w:pPr>
      <w:keepNext/>
      <w:keepLines/>
      <w:numPr>
        <w:ilvl w:val="1"/>
        <w:numId w:val="14"/>
      </w:numPr>
      <w:spacing w:before="280" w:after="280" w:line="280" w:lineRule="exact"/>
      <w:ind w:left="562" w:hanging="562"/>
      <w:outlineLvl w:val="1"/>
    </w:pPr>
    <w:rPr>
      <w:rFonts w:eastAsiaTheme="majorEastAsia" w:cstheme="majorBidi"/>
      <w:b/>
      <w:bCs/>
      <w:caps/>
      <w:spacing w:val="20"/>
      <w:szCs w:val="26"/>
    </w:rPr>
  </w:style>
  <w:style w:type="paragraph" w:styleId="Heading3">
    <w:name w:val="heading 3"/>
    <w:basedOn w:val="Normal"/>
    <w:next w:val="Normal"/>
    <w:link w:val="Heading3Char"/>
    <w:uiPriority w:val="3"/>
    <w:qFormat/>
    <w:rsid w:val="00577982"/>
    <w:pPr>
      <w:keepNext/>
      <w:keepLines/>
      <w:numPr>
        <w:ilvl w:val="2"/>
        <w:numId w:val="14"/>
      </w:numPr>
      <w:spacing w:before="280"/>
      <w:contextualSpacing/>
      <w:outlineLvl w:val="2"/>
    </w:pPr>
    <w:rPr>
      <w:rFonts w:eastAsiaTheme="majorEastAsia" w:cstheme="majorBidi"/>
      <w:b/>
      <w:bCs/>
      <w:caps/>
      <w:spacing w:val="20"/>
      <w:sz w:val="22"/>
    </w:rPr>
  </w:style>
  <w:style w:type="paragraph" w:styleId="Heading4">
    <w:name w:val="heading 4"/>
    <w:basedOn w:val="Normal"/>
    <w:next w:val="Normal"/>
    <w:link w:val="Heading4Char"/>
    <w:uiPriority w:val="4"/>
    <w:qFormat/>
    <w:rsid w:val="00577982"/>
    <w:pPr>
      <w:keepNext/>
      <w:keepLines/>
      <w:numPr>
        <w:ilvl w:val="3"/>
        <w:numId w:val="14"/>
      </w:numPr>
      <w:spacing w:before="280"/>
      <w:outlineLvl w:val="3"/>
    </w:pPr>
    <w:rPr>
      <w:rFonts w:eastAsiaTheme="majorEastAsia" w:cstheme="majorBidi"/>
      <w:b/>
      <w:bCs/>
      <w:iCs/>
    </w:rPr>
  </w:style>
  <w:style w:type="paragraph" w:styleId="Heading5">
    <w:name w:val="heading 5"/>
    <w:basedOn w:val="Normal"/>
    <w:next w:val="Normal"/>
    <w:link w:val="Heading5Char"/>
    <w:uiPriority w:val="4"/>
    <w:semiHidden/>
    <w:qFormat/>
    <w:rsid w:val="00590234"/>
    <w:pPr>
      <w:keepNext/>
      <w:keepLines/>
      <w:numPr>
        <w:ilvl w:val="4"/>
        <w:numId w:val="14"/>
      </w:numPr>
      <w:outlineLvl w:val="4"/>
    </w:pPr>
    <w:rPr>
      <w:rFonts w:eastAsiaTheme="majorEastAsia" w:cstheme="majorBidi"/>
      <w:b/>
    </w:rPr>
  </w:style>
  <w:style w:type="paragraph" w:styleId="Heading6">
    <w:name w:val="heading 6"/>
    <w:basedOn w:val="Normal"/>
    <w:next w:val="Normal"/>
    <w:link w:val="Heading6Char"/>
    <w:uiPriority w:val="4"/>
    <w:semiHidden/>
    <w:qFormat/>
    <w:rsid w:val="00590234"/>
    <w:pPr>
      <w:keepNext/>
      <w:keepLines/>
      <w:numPr>
        <w:ilvl w:val="5"/>
        <w:numId w:val="14"/>
      </w:numPr>
      <w:outlineLvl w:val="5"/>
    </w:pPr>
    <w:rPr>
      <w:rFonts w:eastAsiaTheme="majorEastAsia" w:cstheme="majorBidi"/>
      <w:b/>
      <w:iCs/>
    </w:rPr>
  </w:style>
  <w:style w:type="paragraph" w:styleId="Heading7">
    <w:name w:val="heading 7"/>
    <w:basedOn w:val="Normal"/>
    <w:next w:val="Normal"/>
    <w:link w:val="Heading7Char"/>
    <w:uiPriority w:val="4"/>
    <w:semiHidden/>
    <w:qFormat/>
    <w:rsid w:val="00590234"/>
    <w:pPr>
      <w:keepNext/>
      <w:keepLines/>
      <w:numPr>
        <w:ilvl w:val="6"/>
        <w:numId w:val="14"/>
      </w:numPr>
      <w:outlineLvl w:val="6"/>
    </w:pPr>
    <w:rPr>
      <w:rFonts w:eastAsiaTheme="majorEastAsia" w:cstheme="majorBidi"/>
      <w:b/>
      <w:iCs/>
    </w:rPr>
  </w:style>
  <w:style w:type="paragraph" w:styleId="Heading8">
    <w:name w:val="heading 8"/>
    <w:basedOn w:val="Normal"/>
    <w:next w:val="Normal"/>
    <w:link w:val="Heading8Char"/>
    <w:uiPriority w:val="4"/>
    <w:semiHidden/>
    <w:qFormat/>
    <w:rsid w:val="00590234"/>
    <w:pPr>
      <w:keepNext/>
      <w:keepLines/>
      <w:numPr>
        <w:ilvl w:val="7"/>
        <w:numId w:val="14"/>
      </w:numPr>
      <w:outlineLvl w:val="7"/>
    </w:pPr>
    <w:rPr>
      <w:rFonts w:eastAsiaTheme="majorEastAsia" w:cstheme="majorBidi"/>
      <w:szCs w:val="20"/>
    </w:rPr>
  </w:style>
  <w:style w:type="paragraph" w:styleId="Heading9">
    <w:name w:val="heading 9"/>
    <w:basedOn w:val="Normal"/>
    <w:next w:val="Normal"/>
    <w:link w:val="Heading9Char"/>
    <w:uiPriority w:val="4"/>
    <w:semiHidden/>
    <w:qFormat/>
    <w:rsid w:val="00590234"/>
    <w:pPr>
      <w:keepNext/>
      <w:keepLines/>
      <w:numPr>
        <w:ilvl w:val="8"/>
        <w:numId w:val="14"/>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E03"/>
    <w:pPr>
      <w:ind w:left="720"/>
    </w:pPr>
  </w:style>
  <w:style w:type="character" w:customStyle="1" w:styleId="Heading1Char">
    <w:name w:val="Heading 1 Char"/>
    <w:basedOn w:val="DefaultParagraphFont"/>
    <w:link w:val="Heading1"/>
    <w:uiPriority w:val="1"/>
    <w:rsid w:val="00A71877"/>
    <w:rPr>
      <w:rFonts w:eastAsiaTheme="majorEastAsia" w:cstheme="majorBidi"/>
      <w:bCs/>
      <w:caps/>
      <w:spacing w:val="20"/>
      <w:sz w:val="48"/>
      <w:szCs w:val="28"/>
      <w:lang w:val="en-GB"/>
    </w:rPr>
  </w:style>
  <w:style w:type="character" w:customStyle="1" w:styleId="Heading2Char">
    <w:name w:val="Heading 2 Char"/>
    <w:basedOn w:val="DefaultParagraphFont"/>
    <w:link w:val="Heading2"/>
    <w:uiPriority w:val="2"/>
    <w:rsid w:val="00F81336"/>
    <w:rPr>
      <w:rFonts w:eastAsiaTheme="majorEastAsia" w:cstheme="majorBidi"/>
      <w:b/>
      <w:bCs/>
      <w:caps/>
      <w:spacing w:val="20"/>
      <w:szCs w:val="26"/>
      <w:lang w:val="en-GB"/>
    </w:rPr>
  </w:style>
  <w:style w:type="paragraph" w:styleId="Title">
    <w:name w:val="Title"/>
    <w:basedOn w:val="Normal"/>
    <w:next w:val="Normal"/>
    <w:link w:val="TitleChar"/>
    <w:uiPriority w:val="8"/>
    <w:semiHidden/>
    <w:qFormat/>
    <w:rsid w:val="00C4191A"/>
    <w:pPr>
      <w:spacing w:line="600" w:lineRule="atLeast"/>
    </w:pPr>
    <w:rPr>
      <w:rFonts w:eastAsiaTheme="majorEastAsia" w:cstheme="majorBidi"/>
      <w:caps/>
      <w:color w:val="FFFFFF" w:themeColor="background1"/>
      <w:spacing w:val="20"/>
      <w:sz w:val="56"/>
      <w:szCs w:val="52"/>
    </w:rPr>
  </w:style>
  <w:style w:type="character" w:customStyle="1" w:styleId="TitleChar">
    <w:name w:val="Title Char"/>
    <w:basedOn w:val="DefaultParagraphFont"/>
    <w:link w:val="Title"/>
    <w:uiPriority w:val="8"/>
    <w:semiHidden/>
    <w:rsid w:val="00146F65"/>
    <w:rPr>
      <w:rFonts w:eastAsiaTheme="majorEastAsia" w:cstheme="majorBidi"/>
      <w:caps/>
      <w:color w:val="FFFFFF" w:themeColor="background1"/>
      <w:spacing w:val="20"/>
      <w:sz w:val="56"/>
      <w:szCs w:val="52"/>
      <w:lang w:val="en-GB"/>
    </w:rPr>
  </w:style>
  <w:style w:type="paragraph" w:styleId="Subtitle">
    <w:name w:val="Subtitle"/>
    <w:basedOn w:val="Normal"/>
    <w:next w:val="Normal"/>
    <w:link w:val="SubtitleChar"/>
    <w:uiPriority w:val="11"/>
    <w:semiHidden/>
    <w:qFormat/>
    <w:rsid w:val="00EE384B"/>
    <w:pPr>
      <w:numPr>
        <w:ilvl w:val="1"/>
      </w:numPr>
      <w:spacing w:line="600" w:lineRule="atLeast"/>
    </w:pPr>
    <w:rPr>
      <w:rFonts w:eastAsiaTheme="majorEastAsia" w:cstheme="majorBidi"/>
      <w:iCs/>
      <w:caps/>
      <w:color w:val="FFFFFF" w:themeColor="background1"/>
      <w:sz w:val="48"/>
    </w:rPr>
  </w:style>
  <w:style w:type="character" w:customStyle="1" w:styleId="SubtitleChar">
    <w:name w:val="Subtitle Char"/>
    <w:basedOn w:val="DefaultParagraphFont"/>
    <w:link w:val="Subtitle"/>
    <w:uiPriority w:val="11"/>
    <w:semiHidden/>
    <w:rsid w:val="00F41801"/>
    <w:rPr>
      <w:rFonts w:eastAsiaTheme="majorEastAsia" w:cstheme="majorBidi"/>
      <w:iCs/>
      <w:caps/>
      <w:color w:val="FFFFFF" w:themeColor="background1"/>
      <w:sz w:val="48"/>
      <w:lang w:val="en-GB"/>
    </w:rPr>
  </w:style>
  <w:style w:type="character" w:styleId="SubtleEmphasis">
    <w:name w:val="Subtle Emphasis"/>
    <w:basedOn w:val="DefaultParagraphFont"/>
    <w:uiPriority w:val="19"/>
    <w:semiHidden/>
    <w:qFormat/>
    <w:rsid w:val="003E435A"/>
    <w:rPr>
      <w:i/>
      <w:iCs/>
      <w:color w:val="auto"/>
      <w:lang w:val="en-GB"/>
    </w:rPr>
  </w:style>
  <w:style w:type="character" w:styleId="Emphasis">
    <w:name w:val="Emphasis"/>
    <w:basedOn w:val="DefaultParagraphFont"/>
    <w:uiPriority w:val="6"/>
    <w:semiHidden/>
    <w:qFormat/>
    <w:rsid w:val="003E435A"/>
    <w:rPr>
      <w:i/>
      <w:iCs/>
      <w:lang w:val="en-GB"/>
    </w:rPr>
  </w:style>
  <w:style w:type="character" w:styleId="IntenseEmphasis">
    <w:name w:val="Intense Emphasis"/>
    <w:basedOn w:val="DefaultParagraphFont"/>
    <w:uiPriority w:val="21"/>
    <w:semiHidden/>
    <w:qFormat/>
    <w:rsid w:val="003E435A"/>
    <w:rPr>
      <w:b/>
      <w:bCs/>
      <w:i/>
      <w:iCs/>
      <w:color w:val="auto"/>
      <w:lang w:val="en-GB"/>
    </w:rPr>
  </w:style>
  <w:style w:type="character" w:styleId="Strong">
    <w:name w:val="Strong"/>
    <w:basedOn w:val="DefaultParagraphFont"/>
    <w:uiPriority w:val="22"/>
    <w:semiHidden/>
    <w:qFormat/>
    <w:rsid w:val="003E435A"/>
    <w:rPr>
      <w:b/>
      <w:bCs/>
      <w:lang w:val="en-GB"/>
    </w:rPr>
  </w:style>
  <w:style w:type="paragraph" w:styleId="IntenseQuote">
    <w:name w:val="Intense Quote"/>
    <w:basedOn w:val="Normal"/>
    <w:next w:val="Normal"/>
    <w:link w:val="IntenseQuoteChar"/>
    <w:uiPriority w:val="7"/>
    <w:semiHidden/>
    <w:rsid w:val="00FE0FA7"/>
    <w:pPr>
      <w:spacing w:before="440" w:after="440" w:line="440" w:lineRule="atLeast"/>
      <w:contextualSpacing/>
    </w:pPr>
    <w:rPr>
      <w:b/>
      <w:bCs/>
      <w:iCs/>
      <w:sz w:val="40"/>
    </w:rPr>
  </w:style>
  <w:style w:type="character" w:customStyle="1" w:styleId="IntenseQuoteChar">
    <w:name w:val="Intense Quote Char"/>
    <w:basedOn w:val="DefaultParagraphFont"/>
    <w:link w:val="IntenseQuote"/>
    <w:uiPriority w:val="7"/>
    <w:semiHidden/>
    <w:rsid w:val="0051575A"/>
    <w:rPr>
      <w:b/>
      <w:bCs/>
      <w:iCs/>
      <w:sz w:val="40"/>
      <w:lang w:val="en-GB"/>
    </w:rPr>
  </w:style>
  <w:style w:type="character" w:styleId="SubtleReference">
    <w:name w:val="Subtle Reference"/>
    <w:basedOn w:val="DefaultParagraphFont"/>
    <w:uiPriority w:val="31"/>
    <w:semiHidden/>
    <w:qFormat/>
    <w:rsid w:val="003E435A"/>
    <w:rPr>
      <w:smallCaps/>
      <w:color w:val="auto"/>
      <w:u w:val="single"/>
      <w:lang w:val="en-GB"/>
    </w:rPr>
  </w:style>
  <w:style w:type="character" w:styleId="IntenseReference">
    <w:name w:val="Intense Reference"/>
    <w:basedOn w:val="DefaultParagraphFont"/>
    <w:uiPriority w:val="32"/>
    <w:semiHidden/>
    <w:qFormat/>
    <w:rsid w:val="003E435A"/>
    <w:rPr>
      <w:b/>
      <w:bCs/>
      <w:smallCaps/>
      <w:color w:val="auto"/>
      <w:spacing w:val="5"/>
      <w:u w:val="single"/>
      <w:lang w:val="en-GB"/>
    </w:rPr>
  </w:style>
  <w:style w:type="character" w:customStyle="1" w:styleId="Heading3Char">
    <w:name w:val="Heading 3 Char"/>
    <w:basedOn w:val="DefaultParagraphFont"/>
    <w:link w:val="Heading3"/>
    <w:uiPriority w:val="3"/>
    <w:semiHidden/>
    <w:rsid w:val="00A71877"/>
    <w:rPr>
      <w:rFonts w:eastAsiaTheme="majorEastAsia" w:cstheme="majorBidi"/>
      <w:b/>
      <w:bCs/>
      <w:caps/>
      <w:spacing w:val="20"/>
      <w:sz w:val="22"/>
      <w:lang w:val="en-GB"/>
    </w:rPr>
  </w:style>
  <w:style w:type="character" w:customStyle="1" w:styleId="Heading4Char">
    <w:name w:val="Heading 4 Char"/>
    <w:basedOn w:val="DefaultParagraphFont"/>
    <w:link w:val="Heading4"/>
    <w:uiPriority w:val="4"/>
    <w:semiHidden/>
    <w:rsid w:val="00A71877"/>
    <w:rPr>
      <w:rFonts w:eastAsiaTheme="majorEastAsia" w:cstheme="majorBidi"/>
      <w:b/>
      <w:bCs/>
      <w:iCs/>
      <w:lang w:val="en-GB"/>
    </w:rPr>
  </w:style>
  <w:style w:type="character" w:customStyle="1" w:styleId="Heading5Char">
    <w:name w:val="Heading 5 Char"/>
    <w:basedOn w:val="DefaultParagraphFont"/>
    <w:link w:val="Heading5"/>
    <w:uiPriority w:val="4"/>
    <w:semiHidden/>
    <w:rsid w:val="00146F65"/>
    <w:rPr>
      <w:rFonts w:eastAsiaTheme="majorEastAsia" w:cstheme="majorBidi"/>
      <w:b/>
      <w:lang w:val="en-GB"/>
    </w:rPr>
  </w:style>
  <w:style w:type="character" w:customStyle="1" w:styleId="Heading6Char">
    <w:name w:val="Heading 6 Char"/>
    <w:basedOn w:val="DefaultParagraphFont"/>
    <w:link w:val="Heading6"/>
    <w:uiPriority w:val="4"/>
    <w:semiHidden/>
    <w:rsid w:val="00146F65"/>
    <w:rPr>
      <w:rFonts w:eastAsiaTheme="majorEastAsia" w:cstheme="majorBidi"/>
      <w:b/>
      <w:iCs/>
      <w:lang w:val="en-GB"/>
    </w:rPr>
  </w:style>
  <w:style w:type="character" w:customStyle="1" w:styleId="Heading7Char">
    <w:name w:val="Heading 7 Char"/>
    <w:basedOn w:val="DefaultParagraphFont"/>
    <w:link w:val="Heading7"/>
    <w:uiPriority w:val="4"/>
    <w:semiHidden/>
    <w:rsid w:val="00146F65"/>
    <w:rPr>
      <w:rFonts w:eastAsiaTheme="majorEastAsia" w:cstheme="majorBidi"/>
      <w:b/>
      <w:iCs/>
      <w:lang w:val="en-GB"/>
    </w:rPr>
  </w:style>
  <w:style w:type="character" w:customStyle="1" w:styleId="Heading8Char">
    <w:name w:val="Heading 8 Char"/>
    <w:basedOn w:val="DefaultParagraphFont"/>
    <w:link w:val="Heading8"/>
    <w:uiPriority w:val="4"/>
    <w:semiHidden/>
    <w:rsid w:val="00146F65"/>
    <w:rPr>
      <w:rFonts w:eastAsiaTheme="majorEastAsia" w:cstheme="majorBidi"/>
      <w:szCs w:val="20"/>
      <w:lang w:val="en-GB"/>
    </w:rPr>
  </w:style>
  <w:style w:type="character" w:customStyle="1" w:styleId="Heading9Char">
    <w:name w:val="Heading 9 Char"/>
    <w:basedOn w:val="DefaultParagraphFont"/>
    <w:link w:val="Heading9"/>
    <w:uiPriority w:val="4"/>
    <w:semiHidden/>
    <w:rsid w:val="00146F65"/>
    <w:rPr>
      <w:rFonts w:eastAsiaTheme="majorEastAsia" w:cstheme="majorBidi"/>
      <w:iCs/>
      <w:szCs w:val="20"/>
      <w:lang w:val="en-GB"/>
    </w:rPr>
  </w:style>
  <w:style w:type="paragraph" w:styleId="Caption">
    <w:name w:val="caption"/>
    <w:basedOn w:val="Normal"/>
    <w:next w:val="Normal"/>
    <w:uiPriority w:val="6"/>
    <w:rsid w:val="00460B5C"/>
    <w:pPr>
      <w:spacing w:line="190" w:lineRule="atLeast"/>
    </w:pPr>
    <w:rPr>
      <w:b/>
      <w:bCs/>
      <w:szCs w:val="18"/>
    </w:rPr>
  </w:style>
  <w:style w:type="paragraph" w:styleId="TOC1">
    <w:name w:val="toc 1"/>
    <w:basedOn w:val="H1-Nonumbering"/>
    <w:next w:val="Normal"/>
    <w:uiPriority w:val="39"/>
    <w:rsid w:val="009D6428"/>
    <w:pPr>
      <w:keepNext w:val="0"/>
      <w:keepLines w:val="0"/>
      <w:tabs>
        <w:tab w:val="left" w:pos="284"/>
        <w:tab w:val="right" w:pos="7938"/>
      </w:tabs>
      <w:spacing w:line="280" w:lineRule="atLeast"/>
      <w:ind w:left="284" w:right="567" w:hanging="284"/>
      <w:contextualSpacing w:val="0"/>
      <w:outlineLvl w:val="9"/>
    </w:pPr>
    <w:rPr>
      <w:b/>
      <w:spacing w:val="0"/>
      <w:sz w:val="24"/>
    </w:rPr>
  </w:style>
  <w:style w:type="paragraph" w:styleId="TOC2">
    <w:name w:val="toc 2"/>
    <w:basedOn w:val="H1-Nonumbering"/>
    <w:next w:val="Normal"/>
    <w:uiPriority w:val="39"/>
    <w:rsid w:val="009D6428"/>
    <w:pPr>
      <w:keepNext w:val="0"/>
      <w:keepLines w:val="0"/>
      <w:tabs>
        <w:tab w:val="left" w:pos="567"/>
        <w:tab w:val="right" w:pos="7938"/>
      </w:tabs>
      <w:spacing w:line="280" w:lineRule="atLeast"/>
      <w:ind w:left="1021" w:right="567" w:hanging="737"/>
      <w:contextualSpacing w:val="0"/>
      <w:outlineLvl w:val="9"/>
    </w:pPr>
    <w:rPr>
      <w:b/>
      <w:spacing w:val="0"/>
      <w:sz w:val="24"/>
    </w:rPr>
  </w:style>
  <w:style w:type="paragraph" w:styleId="TOC3">
    <w:name w:val="toc 3"/>
    <w:basedOn w:val="H1-Nonumbering"/>
    <w:next w:val="Normal"/>
    <w:uiPriority w:val="39"/>
    <w:rsid w:val="009D6428"/>
    <w:pPr>
      <w:keepNext w:val="0"/>
      <w:keepLines w:val="0"/>
      <w:tabs>
        <w:tab w:val="left" w:pos="1588"/>
        <w:tab w:val="right" w:pos="7938"/>
      </w:tabs>
      <w:spacing w:line="280" w:lineRule="atLeast"/>
      <w:ind w:left="567" w:right="567"/>
      <w:contextualSpacing w:val="0"/>
      <w:outlineLvl w:val="9"/>
    </w:pPr>
    <w:rPr>
      <w:spacing w:val="0"/>
      <w:sz w:val="24"/>
    </w:rPr>
  </w:style>
  <w:style w:type="paragraph" w:styleId="TOC4">
    <w:name w:val="toc 4"/>
    <w:basedOn w:val="Normal"/>
    <w:next w:val="Normal"/>
    <w:uiPriority w:val="39"/>
    <w:semiHidden/>
    <w:rsid w:val="0043501D"/>
    <w:pPr>
      <w:tabs>
        <w:tab w:val="right" w:pos="7938"/>
      </w:tabs>
      <w:ind w:right="567"/>
    </w:pPr>
  </w:style>
  <w:style w:type="paragraph" w:styleId="TOC5">
    <w:name w:val="toc 5"/>
    <w:basedOn w:val="Normal"/>
    <w:next w:val="Normal"/>
    <w:uiPriority w:val="39"/>
    <w:semiHidden/>
    <w:rsid w:val="005124DD"/>
    <w:pPr>
      <w:tabs>
        <w:tab w:val="right" w:pos="7938"/>
      </w:tabs>
      <w:ind w:right="567"/>
    </w:pPr>
  </w:style>
  <w:style w:type="paragraph" w:styleId="TOC6">
    <w:name w:val="toc 6"/>
    <w:basedOn w:val="Normal"/>
    <w:next w:val="Normal"/>
    <w:uiPriority w:val="39"/>
    <w:semiHidden/>
    <w:rsid w:val="005124DD"/>
    <w:pPr>
      <w:tabs>
        <w:tab w:val="right" w:pos="7938"/>
      </w:tabs>
      <w:ind w:right="567"/>
    </w:pPr>
  </w:style>
  <w:style w:type="paragraph" w:styleId="TOC7">
    <w:name w:val="toc 7"/>
    <w:basedOn w:val="Normal"/>
    <w:next w:val="Normal"/>
    <w:uiPriority w:val="39"/>
    <w:semiHidden/>
    <w:rsid w:val="005124DD"/>
    <w:pPr>
      <w:tabs>
        <w:tab w:val="right" w:pos="7938"/>
      </w:tabs>
      <w:ind w:right="567"/>
    </w:pPr>
  </w:style>
  <w:style w:type="paragraph" w:styleId="TOC8">
    <w:name w:val="toc 8"/>
    <w:basedOn w:val="Normal"/>
    <w:next w:val="Normal"/>
    <w:uiPriority w:val="39"/>
    <w:semiHidden/>
    <w:rsid w:val="005124DD"/>
    <w:pPr>
      <w:tabs>
        <w:tab w:val="right" w:pos="7938"/>
      </w:tabs>
      <w:ind w:right="567"/>
    </w:pPr>
  </w:style>
  <w:style w:type="paragraph" w:styleId="TOC9">
    <w:name w:val="toc 9"/>
    <w:basedOn w:val="Normal"/>
    <w:next w:val="Normal"/>
    <w:uiPriority w:val="39"/>
    <w:semiHidden/>
    <w:rsid w:val="005124DD"/>
    <w:pPr>
      <w:tabs>
        <w:tab w:val="right" w:pos="7938"/>
      </w:tabs>
      <w:ind w:right="567"/>
    </w:pPr>
  </w:style>
  <w:style w:type="paragraph" w:styleId="TOCHeading">
    <w:name w:val="TOC Heading"/>
    <w:basedOn w:val="Heading1"/>
    <w:next w:val="Normal"/>
    <w:uiPriority w:val="39"/>
    <w:semiHidden/>
    <w:qFormat/>
    <w:rsid w:val="00AB12DB"/>
    <w:pPr>
      <w:pageBreakBefore/>
      <w:numPr>
        <w:numId w:val="0"/>
      </w:numPr>
      <w:spacing w:before="0" w:after="0" w:line="520" w:lineRule="atLeast"/>
    </w:pPr>
    <w:rPr>
      <w:color w:val="FFFFFF"/>
    </w:rPr>
  </w:style>
  <w:style w:type="paragraph" w:styleId="EndnoteText">
    <w:name w:val="endnote text"/>
    <w:basedOn w:val="Normal"/>
    <w:link w:val="EndnoteTextChar"/>
    <w:uiPriority w:val="99"/>
    <w:rsid w:val="00AF2231"/>
    <w:rPr>
      <w:szCs w:val="20"/>
    </w:rPr>
  </w:style>
  <w:style w:type="character" w:customStyle="1" w:styleId="EndnoteTextChar">
    <w:name w:val="Endnote Text Char"/>
    <w:basedOn w:val="DefaultParagraphFont"/>
    <w:link w:val="EndnoteText"/>
    <w:uiPriority w:val="99"/>
    <w:rsid w:val="00B8003A"/>
    <w:rPr>
      <w:szCs w:val="20"/>
      <w:lang w:val="en-GB"/>
    </w:rPr>
  </w:style>
  <w:style w:type="paragraph" w:styleId="FootnoteText">
    <w:name w:val="footnote text"/>
    <w:basedOn w:val="Normal"/>
    <w:link w:val="FootnoteTextChar"/>
    <w:uiPriority w:val="99"/>
    <w:semiHidden/>
    <w:rsid w:val="004904C9"/>
    <w:pPr>
      <w:spacing w:line="240" w:lineRule="auto"/>
    </w:pPr>
    <w:rPr>
      <w:szCs w:val="20"/>
    </w:rPr>
  </w:style>
  <w:style w:type="character" w:customStyle="1" w:styleId="FootnoteTextChar">
    <w:name w:val="Footnote Text Char"/>
    <w:basedOn w:val="DefaultParagraphFont"/>
    <w:link w:val="FootnoteText"/>
    <w:uiPriority w:val="99"/>
    <w:semiHidden/>
    <w:rsid w:val="004904C9"/>
    <w:rPr>
      <w:szCs w:val="20"/>
      <w:lang w:val="en-GB"/>
    </w:rPr>
  </w:style>
  <w:style w:type="paragraph" w:styleId="Footer">
    <w:name w:val="footer"/>
    <w:basedOn w:val="Normal"/>
    <w:link w:val="FooterChar"/>
    <w:uiPriority w:val="99"/>
    <w:rsid w:val="009456D6"/>
    <w:pPr>
      <w:tabs>
        <w:tab w:val="center" w:pos="4819"/>
        <w:tab w:val="right" w:pos="9638"/>
      </w:tabs>
      <w:spacing w:line="220" w:lineRule="atLeast"/>
    </w:pPr>
    <w:rPr>
      <w:sz w:val="16"/>
    </w:rPr>
  </w:style>
  <w:style w:type="character" w:customStyle="1" w:styleId="FooterChar">
    <w:name w:val="Footer Char"/>
    <w:basedOn w:val="DefaultParagraphFont"/>
    <w:link w:val="Footer"/>
    <w:uiPriority w:val="99"/>
    <w:rsid w:val="00460B5C"/>
    <w:rPr>
      <w:rFonts w:ascii="Calibri" w:hAnsi="Calibri" w:cs="Calibri"/>
      <w:sz w:val="16"/>
      <w:lang w:val="en-GB"/>
    </w:rPr>
  </w:style>
  <w:style w:type="paragraph" w:styleId="Header">
    <w:name w:val="header"/>
    <w:basedOn w:val="Normal"/>
    <w:link w:val="HeaderChar"/>
    <w:uiPriority w:val="99"/>
    <w:semiHidden/>
    <w:rsid w:val="00B957AF"/>
    <w:pPr>
      <w:tabs>
        <w:tab w:val="center" w:pos="4819"/>
        <w:tab w:val="right" w:pos="9638"/>
      </w:tabs>
      <w:spacing w:line="240" w:lineRule="atLeast"/>
    </w:pPr>
    <w:rPr>
      <w:caps/>
      <w:spacing w:val="20"/>
      <w:sz w:val="18"/>
    </w:rPr>
  </w:style>
  <w:style w:type="character" w:customStyle="1" w:styleId="HeaderChar">
    <w:name w:val="Header Char"/>
    <w:basedOn w:val="DefaultParagraphFont"/>
    <w:link w:val="Header"/>
    <w:uiPriority w:val="99"/>
    <w:semiHidden/>
    <w:rsid w:val="00B957AF"/>
    <w:rPr>
      <w:rFonts w:ascii="Calibri" w:hAnsi="Calibri" w:cs="Calibri"/>
      <w:caps/>
      <w:spacing w:val="20"/>
      <w:sz w:val="18"/>
      <w:lang w:val="en-GB"/>
    </w:rPr>
  </w:style>
  <w:style w:type="character" w:styleId="PageNumber">
    <w:name w:val="page number"/>
    <w:basedOn w:val="DefaultParagraphFont"/>
    <w:uiPriority w:val="99"/>
    <w:semiHidden/>
    <w:rsid w:val="00B35E89"/>
    <w:rPr>
      <w:b/>
      <w:sz w:val="24"/>
      <w:lang w:val="en-GB"/>
    </w:rPr>
  </w:style>
  <w:style w:type="paragraph" w:customStyle="1" w:styleId="Template">
    <w:name w:val="Template"/>
    <w:uiPriority w:val="8"/>
    <w:semiHidden/>
    <w:qFormat/>
    <w:rsid w:val="004455FC"/>
    <w:rPr>
      <w:rFonts w:cs="Calibri"/>
      <w:caps/>
      <w:sz w:val="16"/>
      <w:lang w:val="en-GB"/>
    </w:rPr>
  </w:style>
  <w:style w:type="paragraph" w:customStyle="1" w:styleId="Template-Adresse">
    <w:name w:val="Template - Adresse"/>
    <w:basedOn w:val="Template"/>
    <w:uiPriority w:val="8"/>
    <w:semiHidden/>
    <w:qFormat/>
    <w:rsid w:val="00CD6726"/>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460B5C"/>
    <w:rPr>
      <w:rFonts w:ascii="Calibri" w:hAnsi="Calibri" w:cs="Tahoma"/>
      <w:sz w:val="16"/>
      <w:szCs w:val="16"/>
      <w:lang w:val="en-GB"/>
    </w:rPr>
  </w:style>
  <w:style w:type="paragraph" w:customStyle="1" w:styleId="Leadtext">
    <w:name w:val="Leadtext"/>
    <w:basedOn w:val="Normal"/>
    <w:next w:val="Normal"/>
    <w:uiPriority w:val="8"/>
    <w:semiHidden/>
    <w:qFormat/>
    <w:rsid w:val="0011157F"/>
    <w:rPr>
      <w:caps/>
    </w:rPr>
  </w:style>
  <w:style w:type="table" w:styleId="TableGrid">
    <w:name w:val="Table Grid"/>
    <w:basedOn w:val="TableNormal"/>
    <w:uiPriority w:val="59"/>
    <w:rsid w:val="000032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strophe">
    <w:name w:val="Apostrophe"/>
    <w:basedOn w:val="Normal"/>
    <w:uiPriority w:val="8"/>
    <w:rsid w:val="00214BB6"/>
    <w:pPr>
      <w:spacing w:line="1140" w:lineRule="exact"/>
    </w:pPr>
    <w:rPr>
      <w:b/>
      <w:sz w:val="124"/>
    </w:rPr>
  </w:style>
  <w:style w:type="character" w:customStyle="1" w:styleId="LeadtextDateChar">
    <w:name w:val="Leadtext Date Char"/>
    <w:basedOn w:val="DefaultParagraphFont"/>
    <w:link w:val="LeadtextDate"/>
    <w:uiPriority w:val="8"/>
    <w:semiHidden/>
    <w:locked/>
    <w:rsid w:val="00146F65"/>
    <w:rPr>
      <w:b/>
      <w:lang w:val="en-GB"/>
    </w:rPr>
  </w:style>
  <w:style w:type="paragraph" w:customStyle="1" w:styleId="LeadtextDate">
    <w:name w:val="Leadtext Date"/>
    <w:basedOn w:val="Normal"/>
    <w:next w:val="Normal"/>
    <w:link w:val="LeadtextDateChar"/>
    <w:uiPriority w:val="8"/>
    <w:semiHidden/>
    <w:qFormat/>
    <w:rsid w:val="004905EE"/>
    <w:rPr>
      <w:b/>
    </w:rPr>
  </w:style>
  <w:style w:type="paragraph" w:customStyle="1" w:styleId="FactboxHeading">
    <w:name w:val="Factbox Heading"/>
    <w:basedOn w:val="H1-Nonumbering"/>
    <w:next w:val="FactboxText"/>
    <w:uiPriority w:val="5"/>
    <w:rsid w:val="001178AD"/>
    <w:pPr>
      <w:keepNext w:val="0"/>
      <w:keepLines w:val="0"/>
      <w:spacing w:line="280" w:lineRule="atLeast"/>
      <w:contextualSpacing w:val="0"/>
      <w:outlineLvl w:val="9"/>
    </w:pPr>
    <w:rPr>
      <w:b/>
      <w:sz w:val="24"/>
    </w:rPr>
  </w:style>
  <w:style w:type="paragraph" w:customStyle="1" w:styleId="DocumentHeading">
    <w:name w:val="Document Heading"/>
    <w:basedOn w:val="Normal"/>
    <w:uiPriority w:val="7"/>
    <w:semiHidden/>
    <w:qFormat/>
    <w:rsid w:val="0011157F"/>
    <w:pPr>
      <w:contextualSpacing/>
    </w:pPr>
    <w:rPr>
      <w:b/>
      <w:caps/>
    </w:rPr>
  </w:style>
  <w:style w:type="paragraph" w:customStyle="1" w:styleId="SenderTitle">
    <w:name w:val="Sender Title"/>
    <w:basedOn w:val="Normal"/>
    <w:uiPriority w:val="9"/>
    <w:semiHidden/>
    <w:qFormat/>
    <w:rsid w:val="00DD41AF"/>
    <w:rPr>
      <w:caps/>
      <w:sz w:val="16"/>
    </w:rPr>
  </w:style>
  <w:style w:type="paragraph" w:customStyle="1" w:styleId="FactboxText">
    <w:name w:val="Factbox Text"/>
    <w:basedOn w:val="FactboxHeading"/>
    <w:uiPriority w:val="5"/>
    <w:rsid w:val="000A1C8E"/>
    <w:rPr>
      <w:b w:val="0"/>
      <w:caps w:val="0"/>
      <w:spacing w:val="0"/>
    </w:rPr>
  </w:style>
  <w:style w:type="paragraph" w:customStyle="1" w:styleId="Template-Docinfo">
    <w:name w:val="Template - Doc info"/>
    <w:basedOn w:val="Template"/>
    <w:uiPriority w:val="8"/>
    <w:semiHidden/>
    <w:qFormat/>
    <w:rsid w:val="00AF574C"/>
  </w:style>
  <w:style w:type="paragraph" w:styleId="Quote">
    <w:name w:val="Quote"/>
    <w:basedOn w:val="Normal"/>
    <w:next w:val="Normal"/>
    <w:link w:val="QuoteChar"/>
    <w:uiPriority w:val="6"/>
    <w:rsid w:val="00FE0FA7"/>
    <w:rPr>
      <w:b/>
      <w:iCs/>
    </w:rPr>
  </w:style>
  <w:style w:type="character" w:customStyle="1" w:styleId="QuoteChar">
    <w:name w:val="Quote Char"/>
    <w:basedOn w:val="DefaultParagraphFont"/>
    <w:link w:val="Quote"/>
    <w:uiPriority w:val="6"/>
    <w:rsid w:val="00FE0FA7"/>
    <w:rPr>
      <w:b/>
      <w:iCs/>
      <w:lang w:val="en-GB"/>
    </w:rPr>
  </w:style>
  <w:style w:type="paragraph" w:styleId="NoteHeading">
    <w:name w:val="Note Heading"/>
    <w:basedOn w:val="Normal"/>
    <w:next w:val="Normal"/>
    <w:link w:val="NoteHeadingChar"/>
    <w:uiPriority w:val="8"/>
    <w:semiHidden/>
    <w:rsid w:val="00AF574C"/>
    <w:pPr>
      <w:spacing w:line="240" w:lineRule="auto"/>
    </w:pPr>
    <w:rPr>
      <w:caps/>
      <w:spacing w:val="12"/>
      <w:sz w:val="14"/>
    </w:rPr>
  </w:style>
  <w:style w:type="character" w:customStyle="1" w:styleId="NoteHeadingChar">
    <w:name w:val="Note Heading Char"/>
    <w:basedOn w:val="DefaultParagraphFont"/>
    <w:link w:val="NoteHeading"/>
    <w:uiPriority w:val="8"/>
    <w:semiHidden/>
    <w:rsid w:val="00146F65"/>
    <w:rPr>
      <w:caps/>
      <w:spacing w:val="12"/>
      <w:sz w:val="14"/>
      <w:lang w:val="en-GB"/>
    </w:rPr>
  </w:style>
  <w:style w:type="paragraph" w:styleId="Date">
    <w:name w:val="Date"/>
    <w:basedOn w:val="Normal"/>
    <w:next w:val="Normal"/>
    <w:link w:val="DateChar"/>
    <w:uiPriority w:val="9"/>
    <w:semiHidden/>
    <w:rsid w:val="004455FC"/>
    <w:rPr>
      <w:caps/>
      <w:sz w:val="16"/>
    </w:rPr>
  </w:style>
  <w:style w:type="paragraph" w:styleId="ListBullet">
    <w:name w:val="List Bullet"/>
    <w:basedOn w:val="Normal"/>
    <w:uiPriority w:val="4"/>
    <w:qFormat/>
    <w:rsid w:val="00FE0FA7"/>
    <w:pPr>
      <w:numPr>
        <w:numId w:val="19"/>
      </w:numPr>
      <w:spacing w:line="300" w:lineRule="atLeast"/>
      <w:ind w:left="357" w:hanging="357"/>
      <w:contextualSpacing/>
    </w:pPr>
  </w:style>
  <w:style w:type="table" w:customStyle="1" w:styleId="TheDanishInstituteforHumanRights">
    <w:name w:val="The Danish Institute for Human Rights"/>
    <w:basedOn w:val="TableNormal"/>
    <w:uiPriority w:val="99"/>
    <w:rsid w:val="000032DD"/>
    <w:pPr>
      <w:spacing w:before="40" w:after="40"/>
      <w:ind w:left="85" w:right="85"/>
    </w:pPr>
    <w:rPr>
      <w:caps/>
    </w:rPr>
    <w:tblP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CellMar>
        <w:left w:w="0" w:type="dxa"/>
        <w:right w:w="0" w:type="dxa"/>
      </w:tblCellMar>
    </w:tblPr>
  </w:style>
  <w:style w:type="paragraph" w:styleId="NormalIndent">
    <w:name w:val="Normal Indent"/>
    <w:basedOn w:val="Normal"/>
    <w:uiPriority w:val="99"/>
    <w:semiHidden/>
    <w:rsid w:val="00FE0FA7"/>
    <w:pPr>
      <w:ind w:left="851"/>
    </w:pPr>
  </w:style>
  <w:style w:type="paragraph" w:customStyle="1" w:styleId="Tabel">
    <w:name w:val="Tabel"/>
    <w:uiPriority w:val="8"/>
    <w:rsid w:val="00FE0FA7"/>
    <w:pPr>
      <w:spacing w:before="40" w:after="40"/>
      <w:ind w:left="85" w:right="85"/>
    </w:pPr>
    <w:rPr>
      <w:rFonts w:cs="Calibri"/>
      <w:caps/>
      <w:lang w:val="en-GB"/>
    </w:rPr>
  </w:style>
  <w:style w:type="paragraph" w:customStyle="1" w:styleId="TabelColumnHeading">
    <w:name w:val="Tabel Column Heading"/>
    <w:basedOn w:val="Tabel"/>
    <w:next w:val="Normal"/>
    <w:uiPriority w:val="8"/>
    <w:rsid w:val="00FE0FA7"/>
    <w:rPr>
      <w:b/>
    </w:rPr>
  </w:style>
  <w:style w:type="paragraph" w:customStyle="1" w:styleId="TabelNumbers">
    <w:name w:val="Tabel Numbers"/>
    <w:basedOn w:val="Tabel"/>
    <w:uiPriority w:val="8"/>
    <w:rsid w:val="00FE0FA7"/>
    <w:pPr>
      <w:jc w:val="right"/>
    </w:pPr>
  </w:style>
  <w:style w:type="paragraph" w:customStyle="1" w:styleId="Tabeltext">
    <w:name w:val="Tabel text"/>
    <w:basedOn w:val="Tabel"/>
    <w:uiPriority w:val="8"/>
    <w:rsid w:val="00FE0FA7"/>
  </w:style>
  <w:style w:type="paragraph" w:customStyle="1" w:styleId="TabelTotalNumbers">
    <w:name w:val="Tabel Total Numbers"/>
    <w:basedOn w:val="Normal"/>
    <w:uiPriority w:val="8"/>
    <w:rsid w:val="000032DD"/>
    <w:pPr>
      <w:spacing w:after="40"/>
      <w:jc w:val="right"/>
    </w:pPr>
    <w:rPr>
      <w:b/>
      <w:caps/>
    </w:rPr>
  </w:style>
  <w:style w:type="paragraph" w:customStyle="1" w:styleId="Note">
    <w:name w:val="Note"/>
    <w:basedOn w:val="Normal"/>
    <w:next w:val="Normal"/>
    <w:uiPriority w:val="6"/>
    <w:semiHidden/>
    <w:qFormat/>
    <w:rsid w:val="000D5434"/>
    <w:pPr>
      <w:spacing w:before="280" w:after="280" w:line="190" w:lineRule="atLeast"/>
      <w:contextualSpacing/>
    </w:pPr>
    <w:rPr>
      <w:sz w:val="14"/>
    </w:rPr>
  </w:style>
  <w:style w:type="character" w:customStyle="1" w:styleId="DateChar">
    <w:name w:val="Date Char"/>
    <w:basedOn w:val="DefaultParagraphFont"/>
    <w:link w:val="Date"/>
    <w:uiPriority w:val="9"/>
    <w:semiHidden/>
    <w:rsid w:val="00146F65"/>
    <w:rPr>
      <w:caps/>
      <w:sz w:val="16"/>
      <w:lang w:val="en-GB"/>
    </w:rPr>
  </w:style>
  <w:style w:type="paragraph" w:styleId="ListNumber">
    <w:name w:val="List Number"/>
    <w:basedOn w:val="Normal"/>
    <w:uiPriority w:val="4"/>
    <w:qFormat/>
    <w:rsid w:val="00FE0FA7"/>
    <w:pPr>
      <w:numPr>
        <w:numId w:val="20"/>
      </w:numPr>
      <w:spacing w:line="300" w:lineRule="atLeast"/>
      <w:contextualSpacing/>
    </w:pPr>
  </w:style>
  <w:style w:type="paragraph" w:customStyle="1" w:styleId="AgendaItem">
    <w:name w:val="Agenda Item"/>
    <w:basedOn w:val="Normal"/>
    <w:uiPriority w:val="9"/>
    <w:semiHidden/>
    <w:rsid w:val="00714AEC"/>
    <w:pPr>
      <w:numPr>
        <w:numId w:val="13"/>
      </w:numPr>
      <w:ind w:left="0" w:firstLine="0"/>
    </w:pPr>
    <w:rPr>
      <w:b/>
    </w:rPr>
  </w:style>
  <w:style w:type="paragraph" w:customStyle="1" w:styleId="Imprint-Heading">
    <w:name w:val="Imprint - Heading"/>
    <w:basedOn w:val="H1-Nonumbering"/>
    <w:next w:val="Imprint-Text"/>
    <w:uiPriority w:val="7"/>
    <w:rsid w:val="00FE0FA7"/>
    <w:pPr>
      <w:spacing w:line="280" w:lineRule="atLeast"/>
      <w:contextualSpacing w:val="0"/>
      <w:outlineLvl w:val="9"/>
    </w:pPr>
    <w:rPr>
      <w:b/>
      <w:sz w:val="24"/>
    </w:rPr>
  </w:style>
  <w:style w:type="paragraph" w:customStyle="1" w:styleId="Imprint-Text">
    <w:name w:val="Imprint - Text"/>
    <w:basedOn w:val="Normal"/>
    <w:uiPriority w:val="7"/>
    <w:rsid w:val="00E43708"/>
    <w:pPr>
      <w:framePr w:hSpace="142" w:wrap="around" w:hAnchor="margin" w:yAlign="bottom"/>
      <w:spacing w:line="240" w:lineRule="auto"/>
      <w:suppressOverlap/>
    </w:pPr>
  </w:style>
  <w:style w:type="paragraph" w:customStyle="1" w:styleId="Abbreviations-Heading">
    <w:name w:val="Abbreviations - Heading"/>
    <w:basedOn w:val="Heading1"/>
    <w:next w:val="Abbreviations-Text"/>
    <w:uiPriority w:val="7"/>
    <w:semiHidden/>
    <w:qFormat/>
    <w:rsid w:val="00AB12DB"/>
    <w:pPr>
      <w:numPr>
        <w:numId w:val="0"/>
      </w:numPr>
      <w:spacing w:before="0" w:after="0" w:line="280" w:lineRule="atLeast"/>
    </w:pPr>
    <w:rPr>
      <w:b/>
      <w:sz w:val="24"/>
    </w:rPr>
  </w:style>
  <w:style w:type="paragraph" w:customStyle="1" w:styleId="Abbreviations-Text">
    <w:name w:val="Abbreviations - Text"/>
    <w:basedOn w:val="Abbreviations-Heading"/>
    <w:uiPriority w:val="7"/>
    <w:rsid w:val="00367A63"/>
    <w:pPr>
      <w:tabs>
        <w:tab w:val="left" w:pos="1134"/>
      </w:tabs>
      <w:outlineLvl w:val="9"/>
    </w:pPr>
    <w:rPr>
      <w:b w:val="0"/>
      <w:caps w:val="0"/>
    </w:rPr>
  </w:style>
  <w:style w:type="paragraph" w:customStyle="1" w:styleId="Chapter">
    <w:name w:val="Chapter"/>
    <w:basedOn w:val="H1-Nonumbering"/>
    <w:link w:val="ChapterChar"/>
    <w:uiPriority w:val="5"/>
    <w:semiHidden/>
    <w:qFormat/>
    <w:rsid w:val="00AB12DB"/>
    <w:pPr>
      <w:pageBreakBefore/>
      <w:spacing w:line="520" w:lineRule="atLeast"/>
      <w:contextualSpacing w:val="0"/>
    </w:pPr>
    <w:rPr>
      <w:color w:val="FFFFFF"/>
    </w:rPr>
  </w:style>
  <w:style w:type="character" w:customStyle="1" w:styleId="ChapterChar">
    <w:name w:val="Chapter Char"/>
    <w:basedOn w:val="DefaultParagraphFont"/>
    <w:link w:val="Chapter"/>
    <w:uiPriority w:val="5"/>
    <w:semiHidden/>
    <w:rsid w:val="0051575A"/>
    <w:rPr>
      <w:rFonts w:eastAsiaTheme="majorEastAsia" w:cstheme="majorBidi"/>
      <w:bCs/>
      <w:caps/>
      <w:color w:val="FFFFFF"/>
      <w:spacing w:val="20"/>
      <w:sz w:val="48"/>
      <w:szCs w:val="28"/>
      <w:lang w:val="en-GB"/>
    </w:rPr>
  </w:style>
  <w:style w:type="paragraph" w:customStyle="1" w:styleId="Picturetext">
    <w:name w:val="Picture text"/>
    <w:basedOn w:val="Normal"/>
    <w:uiPriority w:val="4"/>
    <w:rsid w:val="00FE0FA7"/>
    <w:pPr>
      <w:spacing w:before="397"/>
      <w:ind w:left="284" w:right="284"/>
    </w:pPr>
    <w:rPr>
      <w:b/>
      <w:color w:val="FFFFFF" w:themeColor="background1"/>
    </w:rPr>
  </w:style>
  <w:style w:type="paragraph" w:customStyle="1" w:styleId="InsertPicture">
    <w:name w:val="InsertPicture"/>
    <w:basedOn w:val="Normal"/>
    <w:uiPriority w:val="5"/>
    <w:rsid w:val="00BA7C4E"/>
    <w:pPr>
      <w:ind w:left="-28"/>
    </w:pPr>
  </w:style>
  <w:style w:type="character" w:styleId="EndnoteReference">
    <w:name w:val="endnote reference"/>
    <w:basedOn w:val="DefaultParagraphFont"/>
    <w:uiPriority w:val="99"/>
    <w:rsid w:val="004904C9"/>
    <w:rPr>
      <w:rFonts w:ascii="Calibri" w:hAnsi="Calibri"/>
      <w:sz w:val="24"/>
      <w:vertAlign w:val="superscript"/>
      <w:lang w:val="en-GB"/>
    </w:rPr>
  </w:style>
  <w:style w:type="paragraph" w:customStyle="1" w:styleId="FrontpageTitle">
    <w:name w:val="Frontpage Title"/>
    <w:basedOn w:val="Title"/>
    <w:uiPriority w:val="10"/>
    <w:rsid w:val="0050769E"/>
    <w:pPr>
      <w:spacing w:before="160" w:after="200"/>
      <w:ind w:left="284" w:right="284"/>
    </w:pPr>
  </w:style>
  <w:style w:type="paragraph" w:customStyle="1" w:styleId="FrontpageSubtitle">
    <w:name w:val="Frontpage Subtitle"/>
    <w:basedOn w:val="Subtitle"/>
    <w:uiPriority w:val="10"/>
    <w:rsid w:val="0050769E"/>
    <w:pPr>
      <w:spacing w:before="160" w:after="200"/>
      <w:ind w:left="284" w:right="284"/>
    </w:pPr>
  </w:style>
  <w:style w:type="paragraph" w:customStyle="1" w:styleId="Summary">
    <w:name w:val="Summary"/>
    <w:basedOn w:val="Normal"/>
    <w:uiPriority w:val="8"/>
    <w:rsid w:val="00FE0FA7"/>
    <w:pPr>
      <w:spacing w:line="520" w:lineRule="atLeast"/>
      <w:ind w:left="329" w:right="329"/>
    </w:pPr>
    <w:rPr>
      <w:caps/>
      <w:color w:val="FFFFFF" w:themeColor="background1"/>
      <w:sz w:val="48"/>
    </w:rPr>
  </w:style>
  <w:style w:type="paragraph" w:customStyle="1" w:styleId="H1-Nonumbering">
    <w:name w:val="H1 - No numbering"/>
    <w:basedOn w:val="Heading1"/>
    <w:next w:val="Normal"/>
    <w:uiPriority w:val="1"/>
    <w:qFormat/>
    <w:rsid w:val="000A7B9C"/>
    <w:pPr>
      <w:numPr>
        <w:numId w:val="0"/>
      </w:numPr>
      <w:spacing w:before="0" w:after="0"/>
    </w:pPr>
  </w:style>
  <w:style w:type="paragraph" w:customStyle="1" w:styleId="H2-Nonumbering">
    <w:name w:val="H2 - No numbering"/>
    <w:basedOn w:val="Heading2"/>
    <w:next w:val="Normal"/>
    <w:uiPriority w:val="2"/>
    <w:qFormat/>
    <w:rsid w:val="003A121F"/>
    <w:pPr>
      <w:numPr>
        <w:ilvl w:val="0"/>
        <w:numId w:val="0"/>
      </w:numPr>
    </w:pPr>
  </w:style>
  <w:style w:type="paragraph" w:customStyle="1" w:styleId="H3-Nonumbering">
    <w:name w:val="H3 - No numbering"/>
    <w:basedOn w:val="Heading3"/>
    <w:next w:val="Normal"/>
    <w:uiPriority w:val="3"/>
    <w:qFormat/>
    <w:rsid w:val="003A121F"/>
    <w:pPr>
      <w:numPr>
        <w:ilvl w:val="0"/>
        <w:numId w:val="0"/>
      </w:numPr>
    </w:pPr>
  </w:style>
  <w:style w:type="paragraph" w:customStyle="1" w:styleId="H4-Nonumbering">
    <w:name w:val="H4 - No numbering"/>
    <w:basedOn w:val="Heading4"/>
    <w:next w:val="Normal"/>
    <w:uiPriority w:val="3"/>
    <w:qFormat/>
    <w:rsid w:val="003A121F"/>
    <w:pPr>
      <w:numPr>
        <w:ilvl w:val="0"/>
        <w:numId w:val="0"/>
      </w:numPr>
    </w:pPr>
  </w:style>
  <w:style w:type="paragraph" w:customStyle="1" w:styleId="ChapterHeadings">
    <w:name w:val="ChapterHeadings"/>
    <w:basedOn w:val="Heading1"/>
    <w:next w:val="Normal"/>
    <w:uiPriority w:val="6"/>
    <w:rsid w:val="00AB12DB"/>
    <w:pPr>
      <w:pageBreakBefore/>
      <w:numPr>
        <w:numId w:val="0"/>
      </w:numPr>
      <w:spacing w:before="0" w:after="0" w:line="520" w:lineRule="atLeast"/>
    </w:pPr>
    <w:rPr>
      <w:color w:val="FFFFFF"/>
      <w:szCs w:val="22"/>
    </w:rPr>
  </w:style>
  <w:style w:type="character" w:styleId="Hyperlink">
    <w:name w:val="Hyperlink"/>
    <w:basedOn w:val="DefaultParagraphFont"/>
    <w:uiPriority w:val="99"/>
    <w:unhideWhenUsed/>
    <w:rsid w:val="00CC1EC9"/>
    <w:rPr>
      <w:color w:val="0000FF" w:themeColor="hyperlink"/>
      <w:u w:val="single"/>
      <w:lang w:val="en-GB"/>
    </w:rPr>
  </w:style>
  <w:style w:type="character" w:styleId="FootnoteReference">
    <w:name w:val="footnote reference"/>
    <w:basedOn w:val="DefaultParagraphFont"/>
    <w:uiPriority w:val="99"/>
    <w:unhideWhenUsed/>
    <w:rsid w:val="004904C9"/>
    <w:rPr>
      <w:rFonts w:ascii="Calibri" w:hAnsi="Calibri"/>
      <w:sz w:val="24"/>
      <w:vertAlign w:val="superscript"/>
      <w:lang w:val="en-GB"/>
    </w:rPr>
  </w:style>
  <w:style w:type="paragraph" w:customStyle="1" w:styleId="TOCHeading-Hidden">
    <w:name w:val="TOC Heading - Hidden"/>
    <w:basedOn w:val="TOCHeading"/>
    <w:uiPriority w:val="39"/>
    <w:semiHidden/>
    <w:qFormat/>
    <w:rsid w:val="00FE0FA7"/>
    <w:pPr>
      <w:spacing w:line="120" w:lineRule="exact"/>
    </w:pPr>
    <w:rPr>
      <w:noProof/>
    </w:rPr>
  </w:style>
  <w:style w:type="paragraph" w:customStyle="1" w:styleId="ChapterHeadings-Hidden">
    <w:name w:val="ChapterHeadings - Hidden"/>
    <w:basedOn w:val="ChapterHeadings"/>
    <w:uiPriority w:val="5"/>
    <w:semiHidden/>
    <w:qFormat/>
    <w:rsid w:val="00DE0D74"/>
    <w:pPr>
      <w:pageBreakBefore w:val="0"/>
      <w:spacing w:line="14" w:lineRule="exact"/>
    </w:pPr>
  </w:style>
  <w:style w:type="paragraph" w:customStyle="1" w:styleId="Chapter-Hidden">
    <w:name w:val="Chapter - Hidden"/>
    <w:basedOn w:val="Chapter"/>
    <w:uiPriority w:val="5"/>
    <w:semiHidden/>
    <w:qFormat/>
    <w:rsid w:val="00DE0D74"/>
    <w:pPr>
      <w:pageBreakBefore w:val="0"/>
      <w:spacing w:line="14" w:lineRule="exact"/>
    </w:pPr>
  </w:style>
  <w:style w:type="character" w:styleId="PlaceholderText">
    <w:name w:val="Placeholder Text"/>
    <w:basedOn w:val="DefaultParagraphFont"/>
    <w:uiPriority w:val="99"/>
    <w:semiHidden/>
    <w:rsid w:val="00EE67BB"/>
    <w:rPr>
      <w:color w:val="808080"/>
      <w:lang w:val="en-GB"/>
    </w:rPr>
  </w:style>
  <w:style w:type="character" w:styleId="CommentReference">
    <w:name w:val="annotation reference"/>
    <w:basedOn w:val="DefaultParagraphFont"/>
    <w:uiPriority w:val="99"/>
    <w:semiHidden/>
    <w:rsid w:val="00700E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686106068">
      <w:bodyDiv w:val="1"/>
      <w:marLeft w:val="0"/>
      <w:marRight w:val="0"/>
      <w:marTop w:val="0"/>
      <w:marBottom w:val="0"/>
      <w:divBdr>
        <w:top w:val="none" w:sz="0" w:space="0" w:color="auto"/>
        <w:left w:val="none" w:sz="0" w:space="0" w:color="auto"/>
        <w:bottom w:val="none" w:sz="0" w:space="0" w:color="auto"/>
        <w:right w:val="none" w:sz="0" w:space="0" w:color="auto"/>
      </w:divBdr>
    </w:div>
    <w:div w:id="1140153457">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 w:id="197128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umanrights.dk/hria-toolbox/phase3"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humanrights.dk/hria-toolbox/phase3"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umanrights.dk/hria-toolbo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A113F4F-C184-4B5A-BD4F-57232568A937}"/>
      </w:docPartPr>
      <w:docPartBody>
        <w:p w:rsidR="00F16A64" w:rsidRDefault="006B2FF6">
          <w:r w:rsidRPr="006F2D56">
            <w:rPr>
              <w:rStyle w:val="PlaceholderText"/>
            </w:rPr>
            <w:t>Click or tap here to enter text.</w:t>
          </w:r>
        </w:p>
      </w:docPartBody>
    </w:docPart>
    <w:docPart>
      <w:docPartPr>
        <w:name w:val="7FB2EE5F45894D4AA08EC75CED865C59"/>
        <w:category>
          <w:name w:val="General"/>
          <w:gallery w:val="placeholder"/>
        </w:category>
        <w:types>
          <w:type w:val="bbPlcHdr"/>
        </w:types>
        <w:behaviors>
          <w:behavior w:val="content"/>
        </w:behaviors>
        <w:guid w:val="{F1BC27BD-5C56-4DC8-9542-1E60F5EABE9F}"/>
      </w:docPartPr>
      <w:docPartBody>
        <w:p w:rsidR="001E148D" w:rsidRDefault="00222EBD" w:rsidP="00222EBD">
          <w:pPr>
            <w:pStyle w:val="7FB2EE5F45894D4AA08EC75CED865C59"/>
          </w:pPr>
          <w:r>
            <w:t xml:space="preserve"> </w:t>
          </w:r>
        </w:p>
      </w:docPartBody>
    </w:docPart>
    <w:docPart>
      <w:docPartPr>
        <w:name w:val="DAAD4DC1B67A4703941AC781371D10A5"/>
        <w:category>
          <w:name w:val="General"/>
          <w:gallery w:val="placeholder"/>
        </w:category>
        <w:types>
          <w:type w:val="bbPlcHdr"/>
        </w:types>
        <w:behaviors>
          <w:behavior w:val="content"/>
        </w:behaviors>
        <w:guid w:val="{9FFC8930-38EB-4C00-A1FC-05ECAEC79E0C}"/>
      </w:docPartPr>
      <w:docPartBody>
        <w:p w:rsidR="001E148D" w:rsidRDefault="00222EBD" w:rsidP="00222EBD">
          <w:pPr>
            <w:pStyle w:val="DAAD4DC1B67A4703941AC781371D10A5"/>
          </w:pPr>
          <w:r w:rsidRPr="006F2D56">
            <w:rPr>
              <w:rStyle w:val="PlaceholderText"/>
            </w:rPr>
            <w:t>Click or tap here to enter text.</w:t>
          </w:r>
        </w:p>
      </w:docPartBody>
    </w:docPart>
    <w:docPart>
      <w:docPartPr>
        <w:name w:val="45493497604A49C797088E00B1571AEB"/>
        <w:category>
          <w:name w:val="General"/>
          <w:gallery w:val="placeholder"/>
        </w:category>
        <w:types>
          <w:type w:val="bbPlcHdr"/>
        </w:types>
        <w:behaviors>
          <w:behavior w:val="content"/>
        </w:behaviors>
        <w:guid w:val="{AF791E6C-B4DD-4962-957C-78264597D1F3}"/>
      </w:docPartPr>
      <w:docPartBody>
        <w:p w:rsidR="001E148D" w:rsidRDefault="00222EBD" w:rsidP="00222EBD">
          <w:pPr>
            <w:pStyle w:val="45493497604A49C797088E00B1571AEB"/>
          </w:pPr>
          <w:r>
            <w:t xml:space="preserve"> </w:t>
          </w:r>
        </w:p>
      </w:docPartBody>
    </w:docPart>
    <w:docPart>
      <w:docPartPr>
        <w:name w:val="A14D9F33FFC6447F8E6ACF9B5326A528"/>
        <w:category>
          <w:name w:val="General"/>
          <w:gallery w:val="placeholder"/>
        </w:category>
        <w:types>
          <w:type w:val="bbPlcHdr"/>
        </w:types>
        <w:behaviors>
          <w:behavior w:val="content"/>
        </w:behaviors>
        <w:guid w:val="{2CE12046-70A0-42F9-B77B-E328EEAA138D}"/>
      </w:docPartPr>
      <w:docPartBody>
        <w:p w:rsidR="001E148D" w:rsidRDefault="00222EBD" w:rsidP="00222EBD">
          <w:pPr>
            <w:pStyle w:val="A14D9F33FFC6447F8E6ACF9B5326A52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Pro-Light">
    <w:panose1 w:val="00000000000000000000"/>
    <w:charset w:val="00"/>
    <w:family w:val="auto"/>
    <w:notTrueType/>
    <w:pitch w:val="default"/>
    <w:sig w:usb0="00000003" w:usb1="00000000" w:usb2="00000000" w:usb3="00000000" w:csb0="00000001" w:csb1="00000000"/>
  </w:font>
  <w:font w:name="MyriadPro-Semibold">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F6"/>
    <w:rsid w:val="00107276"/>
    <w:rsid w:val="001C500B"/>
    <w:rsid w:val="001E148D"/>
    <w:rsid w:val="00222EBD"/>
    <w:rsid w:val="0049567A"/>
    <w:rsid w:val="005C74F7"/>
    <w:rsid w:val="006327BA"/>
    <w:rsid w:val="0068374C"/>
    <w:rsid w:val="006B2FF6"/>
    <w:rsid w:val="006C29F1"/>
    <w:rsid w:val="007A6E80"/>
    <w:rsid w:val="007F1557"/>
    <w:rsid w:val="00846347"/>
    <w:rsid w:val="009628D7"/>
    <w:rsid w:val="00A43CFD"/>
    <w:rsid w:val="00B47D59"/>
    <w:rsid w:val="00BD2FED"/>
    <w:rsid w:val="00CF5F51"/>
    <w:rsid w:val="00D17213"/>
    <w:rsid w:val="00D43128"/>
    <w:rsid w:val="00DD1AB2"/>
    <w:rsid w:val="00DD4126"/>
    <w:rsid w:val="00E61554"/>
    <w:rsid w:val="00F16A64"/>
    <w:rsid w:val="00F40564"/>
    <w:rsid w:val="00FA3E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EBD"/>
    <w:rPr>
      <w:color w:val="808080"/>
    </w:rPr>
  </w:style>
  <w:style w:type="paragraph" w:customStyle="1" w:styleId="0D819527AB5B46B18D42F9A9CD72DDB2">
    <w:name w:val="0D819527AB5B46B18D42F9A9CD72DDB2"/>
    <w:rsid w:val="006B2FF6"/>
    <w:pPr>
      <w:keepNext/>
      <w:keepLines/>
      <w:tabs>
        <w:tab w:val="left" w:pos="1134"/>
      </w:tabs>
      <w:spacing w:after="0" w:line="280" w:lineRule="atLeast"/>
      <w:contextualSpacing/>
    </w:pPr>
    <w:rPr>
      <w:rFonts w:ascii="Calibri" w:eastAsiaTheme="majorEastAsia" w:hAnsi="Calibri" w:cstheme="majorBidi"/>
      <w:bCs/>
      <w:spacing w:val="20"/>
      <w:sz w:val="24"/>
      <w:szCs w:val="28"/>
      <w:lang w:val="da-DK" w:eastAsia="en-US"/>
    </w:rPr>
  </w:style>
  <w:style w:type="paragraph" w:customStyle="1" w:styleId="0FA4C9909C0446C2BEF6631A588E8F65">
    <w:name w:val="0FA4C9909C0446C2BEF6631A588E8F65"/>
    <w:rsid w:val="006B2FF6"/>
    <w:pPr>
      <w:framePr w:hSpace="142" w:wrap="around" w:hAnchor="margin" w:yAlign="bottom"/>
      <w:spacing w:after="0" w:line="240" w:lineRule="auto"/>
      <w:suppressOverlap/>
    </w:pPr>
    <w:rPr>
      <w:rFonts w:ascii="Calibri" w:eastAsiaTheme="minorHAnsi" w:hAnsi="Calibri"/>
      <w:sz w:val="24"/>
      <w:szCs w:val="24"/>
      <w:lang w:val="da-DK" w:eastAsia="en-US"/>
    </w:rPr>
  </w:style>
  <w:style w:type="paragraph" w:customStyle="1" w:styleId="5450F7D3072C4641A408BDBBE6AA0DB2">
    <w:name w:val="5450F7D3072C4641A408BDBBE6AA0DB2"/>
    <w:rsid w:val="006B2FF6"/>
  </w:style>
  <w:style w:type="paragraph" w:customStyle="1" w:styleId="5AE7306657004083BBFC14E504707FF1">
    <w:name w:val="5AE7306657004083BBFC14E504707FF1"/>
    <w:rsid w:val="006B2FF6"/>
  </w:style>
  <w:style w:type="paragraph" w:customStyle="1" w:styleId="7FB2EE5F45894D4AA08EC75CED865C59">
    <w:name w:val="7FB2EE5F45894D4AA08EC75CED865C59"/>
    <w:rsid w:val="00222EBD"/>
  </w:style>
  <w:style w:type="paragraph" w:customStyle="1" w:styleId="DAAD4DC1B67A4703941AC781371D10A5">
    <w:name w:val="DAAD4DC1B67A4703941AC781371D10A5"/>
    <w:rsid w:val="00222EBD"/>
  </w:style>
  <w:style w:type="paragraph" w:customStyle="1" w:styleId="45493497604A49C797088E00B1571AEB">
    <w:name w:val="45493497604A49C797088E00B1571AEB"/>
    <w:rsid w:val="00222EBD"/>
  </w:style>
  <w:style w:type="paragraph" w:customStyle="1" w:styleId="A14D9F33FFC6447F8E6ACF9B5326A528">
    <w:name w:val="A14D9F33FFC6447F8E6ACF9B5326A528"/>
    <w:rsid w:val="00222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andora">
  <a:themeElements>
    <a:clrScheme name="IMR - Green and black">
      <a:dk1>
        <a:sysClr val="windowText" lastClr="000000"/>
      </a:dk1>
      <a:lt1>
        <a:sysClr val="window" lastClr="FFFFFF"/>
      </a:lt1>
      <a:dk2>
        <a:srgbClr val="000000"/>
      </a:dk2>
      <a:lt2>
        <a:srgbClr val="4E5602"/>
      </a:lt2>
      <a:accent1>
        <a:srgbClr val="D04906"/>
      </a:accent1>
      <a:accent2>
        <a:srgbClr val="8781BD"/>
      </a:accent2>
      <a:accent3>
        <a:srgbClr val="B8005C"/>
      </a:accent3>
      <a:accent4>
        <a:srgbClr val="4E5602"/>
      </a:accent4>
      <a:accent5>
        <a:srgbClr val="B2CBD6"/>
      </a:accent5>
      <a:accent6>
        <a:srgbClr val="005B5C"/>
      </a:accent6>
      <a:hlink>
        <a:srgbClr val="0000FF"/>
      </a:hlink>
      <a:folHlink>
        <a:srgbClr val="800080"/>
      </a:folHlink>
    </a:clrScheme>
    <a:fontScheme name="Pandor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lnSpc>
            <a:spcPct val="93000"/>
          </a:lnSpc>
          <a:defRPr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bwMode="auto">
        <a:noFill/>
        <a:ln w="6350">
          <a:noFill/>
        </a:ln>
      </a:spPr>
      <a:bodyPr wrap="square" lIns="0" tIns="0" rIns="0" bIns="0" rtlCol="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TemplateConfiguration><![CDATA[{"elementsMetadata":[{"type":"richTextContentControl","id":"e475e5e4-76aa-49fc-bd33-92543c1b57a6","elementConfiguration":{"binding":"Translations.Authors","removeAndKeepContent":false,"disableUpdates":false,"type":"text"}},{"type":"richTextContentControl","id":"ac9e7eee-30bb-494f-8bf7-33182a832de4","elementConfiguration":{"binding":"UserProfile.Office.CompanyName","removeAndKeepContent":false,"disableUpdates":false,"type":"text"}},{"type":"richTextContentControl","id":"d36027d9-f691-4242-b790-d54f16cffc05","elementConfiguration":{"binding":"UserProfile.Office.Address","removeAndKeepContent":false,"disableUpdates":false,"type":"text"}},{"type":"richTextContentControl","id":"7f049f8b-1f12-48ad-90ec-8d1d539746ed","elementConfiguration":{"binding":"Translations.Phone","removeAndKeepContent":false,"disableUpdates":false,"type":"text"}},{"type":"richTextContentControl","id":"41237ccf-e1a1-4384-90b0-c9e4fda323f1","elementConfiguration":{"binding":"UserProfile.Office.Phone","removeAndKeepContent":false,"disableUpdates":false,"type":"text"}},{"type":"richTextContentControl","id":"a4759c24-8f3d-4547-8d1d-51702388f2c9","elementConfiguration":{"binding":"UserProfile.Office.Web","removeAndKeepContent":false,"disableUpdates":false,"type":"text"}},{"type":"richTextContentControl","id":"76d50c98-042b-4439-a8a7-b8759725e0fa","elementConfiguration":{"binding":"Translations.Reference","removeAndKeepContent":false,"disableUpdates":false,"type":"text"}},{"type":"richTextContentControl","id":"bd9a952c-c150-4c9a-b1d7-f6be62554a07","elementConfiguration":{"binding":"Translations.ImprintText","removeAndKeepContent":false,"disableUpdates":false,"type":"text"}},{"type":"richTextContentControl","id":"4212fe0f-769c-4c11-b389-83c7a2d38a79","elementConfiguration":{"binding":"Translations.Content","removeAndKeepContent":false,"disableUpdates":false,"type":"text"}},{"type":"richTextContentControl","id":"e2df737d-f75b-49a2-a277-b641b84f1070","elementConfiguration":{"binding":"Translations.Content","removeAndKeepContent":false,"disableUpdates":false,"type":"text"}},{"type":"richTextContentControl","id":"346ec27a-2f47-42e8-ab86-d6003e9e8468","elementConfiguration":{"binding":"Translations.Abbreviations","removeAndKeepContent":false,"disableUpdates":false,"type":"text"}},{"type":"richTextContentControl","id":"1fc1356c-2074-4017-a0bd-285f00e0bcd7","elementConfiguration":{"binding":"Translations.Summery","removeAndKeepContent":false,"disableUpdates":false,"type":"text"}},{"type":"richTextContentControl","id":"a8a1e401-d380-4306-a129-ab283546f255","elementConfiguration":{"binding":"Translations.Summery","removeAndKeepContent":false,"disableUpdates":false,"type":"text"}},{"type":"richTextContentControl","id":"be906d4c-ca64-4bb9-a5a3-ca885e26a43c","elementConfiguration":{"binding":"Translations.Chapter","removeAndKeepContent":false,"disableUpdates":false,"type":"text"}},{"type":"richTextContentControl","id":"2e00738a-6249-485b-9d23-d96a14a9db25","elementConfiguration":{"binding":"Translations.Chapter","removeAndKeepContent":false,"disableUpdates":false,"type":"text"}},{"type":"richTextContentControl","id":"dcc15189-a015-4e23-9ea9-97f925efe925","elementConfiguration":{"binding":"Translations.Annexes","removeAndKeepContent":false,"disableUpdates":false,"type":"text"}},{"type":"richTextContentControl","id":"60dcec75-59eb-4e09-a6cf-294071ed3daa","elementConfiguration":{"binding":"Translations.Annexes","removeAndKeepContent":false,"disableUpdates":false,"type":"text"}},{"type":"richTextContentControl","id":"adecaf84-965e-424d-ae60-597adbef51f9","elementConfiguration":{"binding":"Translations.Endnotes","removeAndKeepContent":false,"disableUpdates":false,"type":"text"}},{"type":"richTextContentControl","id":"7841c7c6-5170-4332-ab97-e3a8109b442b","elementConfiguration":{"binding":"Translations.Endnotes","removeAndKeepContent":false,"disableUpdates":false,"type":"text"}}],"transformationConfigurations":[{"binding":"UserProfile.Logo.LogoName","shapeName":"LogoFirst_Hide","width":"{{UserProfile.Logo.LogoReportAFourWidth}}","namedSections":"first","namedPages":"first","leftOffset":"{{UserProfile.Logo.LogoReportAFourLeftOffset}}","horizontalRelativePosition":"page","topOffset":"{{UserProfile.Logo.LogoReportAFourTopOffset}}","verticalRelativePosition":"page","imageTextWrapping":"inFrontOfText","disableUpdates":false,"type":"imageHeader"},{"binding":"UserProfile.Logo.LogoName","shapeName":"LogoLast_Hide","width":"{{UserProfile.Logo.LogoReportAFourWidth}}","namedSections":"last","namedPages":"first","leftOffset":"{{UserProfile.Logo.LogoReportAFourLeftOffset}}","horizontalRelativePosition":"page","topOffset":"{{UserProfile.Logo.LogoReportAFourTopOffset}}","verticalRelativePosition":"page","imageTextWrapping":"inFrontOfText","disableUpdates":false,"type":"imageHeader"},{"language":"{{DocumentLanguage}}","disableUpdates":false,"type":"proofingLanguage"}],"isBaseTemplate":false,"templateName":"Report A4 - No numbering heading","templateDescription":"","enableDocumentContentUpdater":true,"version":"1.2"}]]></TemplafyTemplateConfiguration>
</file>

<file path=customXml/item2.xml><?xml version="1.0" encoding="utf-8"?>
<TemplafyFormConfiguration><![CDATA[{"formFields":[],"formDataEntries":[]}]]></TemplafyForm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92A86-B584-42C0-954A-85B3757E1E3A}">
  <ds:schemaRefs/>
</ds:datastoreItem>
</file>

<file path=customXml/itemProps2.xml><?xml version="1.0" encoding="utf-8"?>
<ds:datastoreItem xmlns:ds="http://schemas.openxmlformats.org/officeDocument/2006/customXml" ds:itemID="{488BC22E-A553-46C3-8C66-E90EC073915F}">
  <ds:schemaRefs/>
</ds:datastoreItem>
</file>

<file path=customXml/itemProps3.xml><?xml version="1.0" encoding="utf-8"?>
<ds:datastoreItem xmlns:ds="http://schemas.openxmlformats.org/officeDocument/2006/customXml" ds:itemID="{09322397-8C2A-4AE6-A3FF-10A266E9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3374</Words>
  <Characters>19232</Characters>
  <Application>Microsoft Office Word</Application>
  <DocSecurity>0</DocSecurity>
  <Lines>160</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Report A4</vt:lpstr>
      <vt:lpstr>Report</vt:lpstr>
    </vt:vector>
  </TitlesOfParts>
  <Company>The Danish Institute for Human Rights</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A4</dc:title>
  <dc:creator>Diana Rocio</dc:creator>
  <cp:lastModifiedBy>Stine Juhl Nielsen</cp:lastModifiedBy>
  <cp:revision>2</cp:revision>
  <cp:lastPrinted>2019-12-18T15:37:00Z</cp:lastPrinted>
  <dcterms:created xsi:type="dcterms:W3CDTF">2020-07-20T12:49:00Z</dcterms:created>
  <dcterms:modified xsi:type="dcterms:W3CDTF">2020-07-20T12:49:00Z</dcterms:modified>
</cp:coreProperties>
</file>